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6F775" w14:textId="5B616B06" w:rsidR="00FD1C4A" w:rsidRDefault="00FD1C4A" w:rsidP="00FD1C4A">
      <w:pPr>
        <w:tabs>
          <w:tab w:val="left" w:pos="1985"/>
        </w:tabs>
        <w:spacing w:after="60"/>
        <w:rPr>
          <w:rFonts w:ascii="Arial" w:hAnsi="Arial" w:cs="Arial"/>
          <w:b/>
          <w:bCs/>
          <w:noProof/>
          <w:sz w:val="24"/>
          <w:szCs w:val="26"/>
        </w:rPr>
      </w:pPr>
      <w:bookmarkStart w:id="0" w:name="_Hlk78207062"/>
      <w:bookmarkStart w:id="1" w:name="_Hlk205563003"/>
      <w:r>
        <w:rPr>
          <w:rFonts w:ascii="Arial" w:hAnsi="Arial" w:cs="Arial"/>
          <w:b/>
          <w:bCs/>
          <w:noProof/>
          <w:sz w:val="24"/>
          <w:szCs w:val="26"/>
        </w:rPr>
        <w:t>3GPP TSG RAN WG1 #12</w:t>
      </w:r>
      <w:r w:rsidR="00AE59B9">
        <w:rPr>
          <w:rFonts w:ascii="Arial" w:hAnsi="Arial" w:cs="Arial" w:hint="eastAsia"/>
          <w:b/>
          <w:bCs/>
          <w:noProof/>
          <w:sz w:val="24"/>
          <w:szCs w:val="26"/>
        </w:rPr>
        <w:t>4</w:t>
      </w:r>
      <w:r w:rsidR="003333B0">
        <w:rPr>
          <w:rFonts w:ascii="Arial" w:hAnsi="Arial" w:cs="Arial" w:hint="eastAsia"/>
          <w:b/>
          <w:bCs/>
          <w:noProof/>
          <w:sz w:val="24"/>
          <w:szCs w:val="26"/>
        </w:rPr>
        <w:t xml:space="preserve">   </w:t>
      </w:r>
      <w:r>
        <w:rPr>
          <w:rFonts w:ascii="Arial" w:hAnsi="Arial" w:cs="Arial"/>
          <w:b/>
          <w:bCs/>
          <w:noProof/>
          <w:sz w:val="24"/>
          <w:szCs w:val="26"/>
        </w:rPr>
        <w:t xml:space="preserve">                                       R1-2</w:t>
      </w:r>
      <w:r w:rsidR="00AE59B9">
        <w:rPr>
          <w:rFonts w:ascii="Arial" w:hAnsi="Arial" w:cs="Arial" w:hint="eastAsia"/>
          <w:b/>
          <w:bCs/>
          <w:noProof/>
          <w:sz w:val="24"/>
          <w:szCs w:val="26"/>
        </w:rPr>
        <w:t>60</w:t>
      </w:r>
      <w:r w:rsidR="00332474">
        <w:rPr>
          <w:rFonts w:ascii="Arial" w:hAnsi="Arial" w:cs="Arial" w:hint="eastAsia"/>
          <w:b/>
          <w:bCs/>
          <w:noProof/>
          <w:sz w:val="24"/>
          <w:szCs w:val="26"/>
        </w:rPr>
        <w:t>1006</w:t>
      </w:r>
    </w:p>
    <w:bookmarkEnd w:id="0"/>
    <w:p w14:paraId="48A0230A" w14:textId="35CB85B0" w:rsidR="00FD1C4A" w:rsidRPr="003333B0" w:rsidRDefault="00AE59B9" w:rsidP="00FD1C4A">
      <w:pPr>
        <w:tabs>
          <w:tab w:val="left" w:pos="1985"/>
        </w:tabs>
        <w:spacing w:after="240"/>
        <w:rPr>
          <w:rFonts w:ascii="Arial" w:hAnsi="Arial" w:cs="Arial"/>
          <w:b/>
          <w:bCs/>
          <w:noProof/>
          <w:sz w:val="24"/>
          <w:szCs w:val="26"/>
          <w:lang w:val="en-US"/>
        </w:rPr>
      </w:pPr>
      <w:r w:rsidRPr="00AE59B9">
        <w:rPr>
          <w:rFonts w:ascii="Arial" w:hAnsi="Arial" w:cs="Arial"/>
          <w:b/>
          <w:bCs/>
          <w:noProof/>
          <w:sz w:val="24"/>
          <w:szCs w:val="26"/>
        </w:rPr>
        <w:t>Gothenburg, SE, Feb</w:t>
      </w:r>
      <w:r>
        <w:rPr>
          <w:rFonts w:ascii="Arial" w:hAnsi="Arial" w:cs="Arial" w:hint="eastAsia"/>
          <w:b/>
          <w:bCs/>
          <w:noProof/>
          <w:sz w:val="24"/>
          <w:szCs w:val="26"/>
        </w:rPr>
        <w:t>uruay</w:t>
      </w:r>
      <w:r w:rsidRPr="00AE59B9">
        <w:rPr>
          <w:rFonts w:ascii="Arial" w:hAnsi="Arial" w:cs="Arial"/>
          <w:b/>
          <w:bCs/>
          <w:noProof/>
          <w:sz w:val="24"/>
          <w:szCs w:val="26"/>
        </w:rPr>
        <w:t xml:space="preserve"> 9</w:t>
      </w:r>
      <w:r>
        <w:rPr>
          <w:rFonts w:ascii="Arial" w:hAnsi="Arial" w:cs="Arial" w:hint="eastAsia"/>
          <w:b/>
          <w:bCs/>
          <w:noProof/>
          <w:sz w:val="24"/>
          <w:szCs w:val="26"/>
          <w:vertAlign w:val="superscript"/>
        </w:rPr>
        <w:t>th</w:t>
      </w:r>
      <w:r w:rsidRPr="00AE59B9">
        <w:rPr>
          <w:rFonts w:ascii="Arial" w:hAnsi="Arial" w:cs="Arial"/>
          <w:b/>
          <w:bCs/>
          <w:noProof/>
          <w:sz w:val="24"/>
          <w:szCs w:val="26"/>
        </w:rPr>
        <w:t xml:space="preserve"> </w:t>
      </w:r>
      <w:r>
        <w:rPr>
          <w:rFonts w:ascii="Arial" w:hAnsi="Arial" w:cs="Arial" w:hint="eastAsia"/>
          <w:b/>
          <w:bCs/>
          <w:noProof/>
          <w:sz w:val="24"/>
          <w:szCs w:val="26"/>
        </w:rPr>
        <w:t>~ 13</w:t>
      </w:r>
      <w:r w:rsidRPr="00AE59B9">
        <w:rPr>
          <w:rFonts w:ascii="Arial" w:hAnsi="Arial" w:cs="Arial" w:hint="eastAsia"/>
          <w:b/>
          <w:bCs/>
          <w:noProof/>
          <w:sz w:val="24"/>
          <w:szCs w:val="26"/>
          <w:vertAlign w:val="superscript"/>
        </w:rPr>
        <w:t>rd</w:t>
      </w:r>
      <w:r w:rsidRPr="00AE59B9">
        <w:rPr>
          <w:rFonts w:ascii="Arial" w:hAnsi="Arial" w:cs="Arial"/>
          <w:b/>
          <w:bCs/>
          <w:noProof/>
          <w:sz w:val="24"/>
          <w:szCs w:val="26"/>
        </w:rPr>
        <w:t>, 2026</w:t>
      </w:r>
    </w:p>
    <w:bookmarkEnd w:id="1"/>
    <w:p w14:paraId="744138CD" w14:textId="33DBC2FF" w:rsidR="00491D04" w:rsidRPr="00C15CF1"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4A1FE47F" w:rsidR="00491D04" w:rsidRPr="00C15CF1" w:rsidRDefault="00491D04" w:rsidP="00C02370">
      <w:pPr>
        <w:tabs>
          <w:tab w:val="left" w:pos="1860"/>
          <w:tab w:val="left" w:pos="3280"/>
        </w:tabs>
        <w:spacing w:after="60"/>
        <w:jc w:val="left"/>
        <w:rPr>
          <w:rFonts w:ascii="Arial" w:hAnsi="Arial" w:cs="Arial"/>
          <w:b/>
          <w:sz w:val="24"/>
          <w:szCs w:val="26"/>
          <w:lang w:val="en-US"/>
        </w:rPr>
      </w:pPr>
      <w:bookmarkStart w:id="2" w:name="_Hlk23925924"/>
      <w:r w:rsidRPr="00C15CF1">
        <w:rPr>
          <w:rFonts w:ascii="Arial" w:hAnsi="Arial" w:cs="Arial"/>
          <w:b/>
          <w:sz w:val="24"/>
          <w:szCs w:val="26"/>
          <w:lang w:val="en-US"/>
        </w:rPr>
        <w:t>Title:</w:t>
      </w:r>
      <w:bookmarkStart w:id="3" w:name="Title"/>
      <w:bookmarkEnd w:id="3"/>
      <w:r w:rsidR="00CF6632" w:rsidRPr="00C15CF1">
        <w:rPr>
          <w:rFonts w:ascii="Arial" w:hAnsi="Arial" w:cs="Arial"/>
          <w:b/>
          <w:sz w:val="24"/>
          <w:szCs w:val="26"/>
          <w:lang w:val="en-US"/>
        </w:rPr>
        <w:tab/>
      </w:r>
      <w:r w:rsidR="009E51BA" w:rsidRPr="009E51BA">
        <w:rPr>
          <w:rFonts w:ascii="Arial" w:hAnsi="Arial" w:cs="Arial"/>
          <w:b/>
          <w:sz w:val="24"/>
          <w:szCs w:val="26"/>
          <w:lang w:val="en-US"/>
        </w:rPr>
        <w:t xml:space="preserve">Discussion on </w:t>
      </w:r>
      <w:r w:rsidR="00E260D3">
        <w:rPr>
          <w:rFonts w:ascii="Arial" w:hAnsi="Arial" w:cs="Arial" w:hint="eastAsia"/>
          <w:b/>
          <w:sz w:val="24"/>
          <w:szCs w:val="26"/>
          <w:lang w:val="en-US"/>
        </w:rPr>
        <w:t>DL control channels</w:t>
      </w:r>
      <w:r w:rsidR="00AE59B9">
        <w:rPr>
          <w:rFonts w:ascii="Arial" w:hAnsi="Arial" w:cs="Arial" w:hint="eastAsia"/>
          <w:b/>
          <w:sz w:val="24"/>
          <w:szCs w:val="26"/>
          <w:lang w:val="en-US"/>
        </w:rPr>
        <w:t xml:space="preserve"> for</w:t>
      </w:r>
      <w:r w:rsidR="009E51BA" w:rsidRPr="009E51BA">
        <w:rPr>
          <w:rFonts w:ascii="Arial" w:hAnsi="Arial" w:cs="Arial"/>
          <w:b/>
          <w:sz w:val="24"/>
          <w:szCs w:val="26"/>
          <w:lang w:val="en-US"/>
        </w:rPr>
        <w:t xml:space="preserve"> 6GR</w:t>
      </w:r>
    </w:p>
    <w:p w14:paraId="2BBA9C0C" w14:textId="74C85E8C" w:rsidR="00491D04" w:rsidRPr="007C620E" w:rsidRDefault="00491D04" w:rsidP="00E260D3">
      <w:pPr>
        <w:tabs>
          <w:tab w:val="left" w:pos="1860"/>
        </w:tabs>
        <w:spacing w:after="60"/>
        <w:jc w:val="left"/>
        <w:rPr>
          <w:rFonts w:ascii="Arial" w:hAnsi="Arial" w:cs="Arial"/>
          <w:b/>
          <w:sz w:val="24"/>
          <w:szCs w:val="26"/>
        </w:rPr>
      </w:pPr>
      <w:r w:rsidRPr="00C15CF1">
        <w:rPr>
          <w:rFonts w:ascii="Arial" w:hAnsi="Arial" w:cs="Arial"/>
          <w:b/>
          <w:sz w:val="24"/>
          <w:szCs w:val="26"/>
          <w:lang w:val="en-US"/>
        </w:rPr>
        <w:t>Agenda Item:</w:t>
      </w:r>
      <w:r w:rsidRPr="00C15CF1">
        <w:rPr>
          <w:rFonts w:ascii="Arial" w:hAnsi="Arial" w:cs="Arial"/>
          <w:b/>
          <w:sz w:val="24"/>
          <w:szCs w:val="26"/>
          <w:lang w:val="en-US"/>
        </w:rPr>
        <w:tab/>
      </w:r>
      <w:r w:rsidR="00E260D3" w:rsidRPr="00E260D3">
        <w:rPr>
          <w:rFonts w:ascii="Arial" w:hAnsi="Arial" w:cs="Arial"/>
          <w:b/>
          <w:sz w:val="24"/>
          <w:szCs w:val="26"/>
          <w:lang w:val="en-US"/>
        </w:rPr>
        <w:t>10.5.2.1</w:t>
      </w:r>
      <w:r w:rsidR="00E260D3">
        <w:rPr>
          <w:rFonts w:ascii="Arial" w:hAnsi="Arial" w:cs="Arial" w:hint="eastAsia"/>
          <w:b/>
          <w:sz w:val="24"/>
          <w:szCs w:val="26"/>
          <w:lang w:val="en-US"/>
        </w:rPr>
        <w:t xml:space="preserve">  </w:t>
      </w:r>
      <w:r w:rsidR="00E260D3" w:rsidRPr="00E260D3">
        <w:rPr>
          <w:rFonts w:ascii="Arial" w:hAnsi="Arial" w:cs="Arial"/>
          <w:b/>
          <w:sz w:val="24"/>
          <w:szCs w:val="26"/>
          <w:lang w:val="en-US"/>
        </w:rPr>
        <w:t>Downlink transmission scheme(s) for downlink control channels</w:t>
      </w:r>
    </w:p>
    <w:bookmarkEnd w:id="2"/>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4" w:name="DocumentFor"/>
      <w:bookmarkEnd w:id="4"/>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0BEB7862" w14:textId="77777777" w:rsidR="00332474" w:rsidRDefault="00332474" w:rsidP="00332474">
      <w:r>
        <w:rPr>
          <w:rFonts w:hint="eastAsia"/>
        </w:rPr>
        <w:t>S</w:t>
      </w:r>
      <w:r>
        <w:t xml:space="preserve">tandardization </w:t>
      </w:r>
      <w:r>
        <w:rPr>
          <w:rFonts w:hint="eastAsia"/>
        </w:rPr>
        <w:t xml:space="preserve">for 6GR </w:t>
      </w:r>
      <w:r>
        <w:t xml:space="preserve">in RAN1 </w:t>
      </w:r>
      <w:r>
        <w:rPr>
          <w:rFonts w:hint="eastAsia"/>
        </w:rPr>
        <w:t>started</w:t>
      </w:r>
      <w:r>
        <w:t xml:space="preserve"> in August of last year, and the corresponding 6GR study item has been ongoing since then. The last three RAN1 meetings served as a pre-study phase, during which discussions primarily </w:t>
      </w:r>
      <w:r>
        <w:rPr>
          <w:rFonts w:hint="eastAsia"/>
        </w:rPr>
        <w:t>focused on</w:t>
      </w:r>
      <w:r>
        <w:t xml:space="preserve"> high-level design principles and issue identification. From this meeting onward, the work areas are being further structured into more specific topics, and more focused technical discussions are anticipated.</w:t>
      </w:r>
    </w:p>
    <w:p w14:paraId="66AAE0C8" w14:textId="0499F4C6" w:rsidR="00E260D3" w:rsidRDefault="00332474" w:rsidP="00671D95">
      <w:r>
        <w:t>In this contribution, we provide ETRI’s views on</w:t>
      </w:r>
      <w:r w:rsidR="003F0E17">
        <w:rPr>
          <w:rFonts w:hint="eastAsia"/>
        </w:rPr>
        <w:t xml:space="preserve"> </w:t>
      </w:r>
      <w:r w:rsidR="0050530A">
        <w:rPr>
          <w:rFonts w:hint="eastAsia"/>
        </w:rPr>
        <w:t>downlink</w:t>
      </w:r>
      <w:r w:rsidR="003F0E17">
        <w:rPr>
          <w:rFonts w:hint="eastAsia"/>
        </w:rPr>
        <w:t xml:space="preserve"> control channel</w:t>
      </w:r>
      <w:r w:rsidR="0050530A">
        <w:rPr>
          <w:rFonts w:hint="eastAsia"/>
        </w:rPr>
        <w:t xml:space="preserve"> design</w:t>
      </w:r>
      <w:r>
        <w:t xml:space="preserve"> for 6GR</w:t>
      </w:r>
      <w:r w:rsidR="003F0E17">
        <w:rPr>
          <w:rFonts w:hint="eastAsia"/>
        </w:rPr>
        <w:t xml:space="preserve"> under</w:t>
      </w:r>
      <w:r>
        <w:t xml:space="preserve"> agenda</w:t>
      </w:r>
      <w:r w:rsidR="003F0E17">
        <w:rPr>
          <w:rFonts w:hint="eastAsia"/>
        </w:rPr>
        <w:t xml:space="preserve"> item 10.5.2.1, in line with the scope </w:t>
      </w:r>
      <w:r w:rsidR="0050530A">
        <w:rPr>
          <w:rFonts w:hint="eastAsia"/>
        </w:rPr>
        <w:t>outlined</w:t>
      </w:r>
      <w:r w:rsidR="003F0E17">
        <w:rPr>
          <w:rFonts w:hint="eastAsia"/>
        </w:rPr>
        <w:t xml:space="preserve"> in </w:t>
      </w:r>
      <w:r>
        <w:t>[1]</w:t>
      </w:r>
      <w:r w:rsidR="0050530A">
        <w:rPr>
          <w:rFonts w:hint="eastAsia"/>
        </w:rPr>
        <w:t>,</w:t>
      </w:r>
      <w:r w:rsidR="003F0E17">
        <w:rPr>
          <w:rFonts w:hint="eastAsia"/>
        </w:rPr>
        <w:t xml:space="preserve"> as </w:t>
      </w:r>
      <w:r w:rsidR="0050530A">
        <w:rPr>
          <w:rFonts w:hint="eastAsia"/>
        </w:rPr>
        <w:t>follows</w:t>
      </w:r>
      <w:r>
        <w:t>:</w:t>
      </w:r>
    </w:p>
    <w:tbl>
      <w:tblPr>
        <w:tblStyle w:val="a9"/>
        <w:tblW w:w="0" w:type="auto"/>
        <w:tblLook w:val="04A0" w:firstRow="1" w:lastRow="0" w:firstColumn="1" w:lastColumn="0" w:noHBand="0" w:noVBand="1"/>
      </w:tblPr>
      <w:tblGrid>
        <w:gridCol w:w="9288"/>
      </w:tblGrid>
      <w:tr w:rsidR="00E260D3" w14:paraId="51E1EFDA" w14:textId="77777777" w:rsidTr="00E260D3">
        <w:tc>
          <w:tcPr>
            <w:tcW w:w="9288" w:type="dxa"/>
          </w:tcPr>
          <w:p w14:paraId="46CA8E8A" w14:textId="77777777" w:rsidR="00E260D3" w:rsidRPr="00E260D3" w:rsidRDefault="00E260D3" w:rsidP="00E260D3">
            <w:pPr>
              <w:spacing w:after="120"/>
              <w:rPr>
                <w:rFonts w:ascii="Arial" w:hAnsi="Arial" w:cs="Arial"/>
                <w:b/>
                <w:bCs/>
              </w:rPr>
            </w:pPr>
            <w:r w:rsidRPr="00E260D3">
              <w:rPr>
                <w:rFonts w:ascii="Arial" w:hAnsi="Arial" w:cs="Arial"/>
                <w:b/>
                <w:bCs/>
              </w:rPr>
              <w:t>10.5.2</w:t>
            </w:r>
            <w:r w:rsidRPr="00E260D3">
              <w:rPr>
                <w:rFonts w:ascii="Arial" w:hAnsi="Arial" w:cs="Arial"/>
                <w:b/>
                <w:bCs/>
              </w:rPr>
              <w:tab/>
              <w:t xml:space="preserve">MIMO operation </w:t>
            </w:r>
          </w:p>
          <w:p w14:paraId="63CB2DA1" w14:textId="77777777" w:rsidR="00E260D3" w:rsidRPr="00E260D3" w:rsidRDefault="00E260D3" w:rsidP="00E260D3">
            <w:pPr>
              <w:spacing w:after="0"/>
              <w:rPr>
                <w:i/>
                <w:iCs/>
              </w:rPr>
            </w:pPr>
            <w:r w:rsidRPr="00E260D3">
              <w:rPr>
                <w:i/>
                <w:iCs/>
              </w:rPr>
              <w:t>Note 1: Including schemes/mechanisms about how to transmit different channels or signals, and associated aspects</w:t>
            </w:r>
          </w:p>
          <w:p w14:paraId="04A2701B" w14:textId="77777777" w:rsidR="00E260D3" w:rsidRPr="00E260D3" w:rsidRDefault="00E260D3" w:rsidP="00E260D3">
            <w:pPr>
              <w:rPr>
                <w:i/>
                <w:iCs/>
              </w:rPr>
            </w:pPr>
            <w:r w:rsidRPr="00E260D3">
              <w:rPr>
                <w:i/>
                <w:iCs/>
              </w:rPr>
              <w:t>Note 2: How/where to transmit downlink control channels will be discussed under AI 10.5.2.1, what to be transmitted/indicated will be discussed under AI 10.5.4.1. Similarly, how/where to transmit PDSCH/PUSCH, such as Time/frequency domain resource allocation schemes, etc, will be discussed under AI 10.5.2.2/10.5.2.3.</w:t>
            </w:r>
          </w:p>
          <w:p w14:paraId="66B35D86" w14:textId="42FDCCC7" w:rsidR="00E260D3" w:rsidRPr="00E260D3" w:rsidRDefault="00E260D3" w:rsidP="00E260D3">
            <w:pPr>
              <w:spacing w:after="120"/>
              <w:rPr>
                <w:rFonts w:ascii="Arial" w:hAnsi="Arial" w:cs="Arial"/>
                <w:b/>
                <w:bCs/>
                <w:i/>
                <w:iCs/>
              </w:rPr>
            </w:pPr>
            <w:r w:rsidRPr="00E260D3">
              <w:rPr>
                <w:rFonts w:ascii="Arial" w:hAnsi="Arial" w:cs="Arial"/>
                <w:b/>
                <w:bCs/>
                <w:i/>
                <w:iCs/>
              </w:rPr>
              <w:t>10.5.2.1</w:t>
            </w:r>
            <w:r w:rsidRPr="00E260D3">
              <w:rPr>
                <w:rFonts w:ascii="Arial" w:hAnsi="Arial" w:cs="Arial" w:hint="eastAsia"/>
                <w:b/>
                <w:bCs/>
                <w:i/>
                <w:iCs/>
              </w:rPr>
              <w:t xml:space="preserve"> </w:t>
            </w:r>
            <w:r w:rsidRPr="00E260D3">
              <w:rPr>
                <w:rFonts w:ascii="Arial" w:hAnsi="Arial" w:cs="Arial"/>
                <w:b/>
                <w:bCs/>
                <w:i/>
                <w:iCs/>
              </w:rPr>
              <w:tab/>
              <w:t>Downlink transmission scheme(s) for downlink control channels</w:t>
            </w:r>
          </w:p>
          <w:p w14:paraId="625E2C9A" w14:textId="2C4DB6F4" w:rsidR="00E260D3" w:rsidRPr="00E260D3" w:rsidRDefault="00E260D3" w:rsidP="00671D95">
            <w:pPr>
              <w:rPr>
                <w:i/>
                <w:iCs/>
              </w:rPr>
            </w:pPr>
            <w:r w:rsidRPr="00E260D3">
              <w:rPr>
                <w:i/>
                <w:iCs/>
              </w:rPr>
              <w:t>Note 1: Including downlink transmission scheme for downlink channel and signals, e.g., PDCCH, associated downlink DMRS design (if any), scrambling sequence, and control channel structure, like REG/CCE, CORESET bandwidth, where downlink DMRS design, as well as mechanism for supporting MRSS.</w:t>
            </w:r>
          </w:p>
        </w:tc>
      </w:tr>
    </w:tbl>
    <w:p w14:paraId="40113EDF" w14:textId="77777777" w:rsidR="0035342F" w:rsidRPr="0035342F" w:rsidRDefault="0035342F" w:rsidP="00C02370"/>
    <w:p w14:paraId="1CA44EF5" w14:textId="0EF8E092" w:rsidR="00B14A93" w:rsidRDefault="00EE3662" w:rsidP="00927A05">
      <w:pPr>
        <w:pStyle w:val="1"/>
        <w:rPr>
          <w:lang w:eastAsia="ko-KR"/>
        </w:rPr>
      </w:pPr>
      <w:r>
        <w:rPr>
          <w:rFonts w:hint="eastAsia"/>
          <w:lang w:eastAsia="ko-KR"/>
        </w:rPr>
        <w:t xml:space="preserve">PDCCH </w:t>
      </w:r>
      <w:r w:rsidR="00763995">
        <w:rPr>
          <w:rFonts w:hint="eastAsia"/>
          <w:lang w:eastAsia="ko-KR"/>
        </w:rPr>
        <w:t xml:space="preserve">resource </w:t>
      </w:r>
      <w:r w:rsidR="00294005">
        <w:rPr>
          <w:rFonts w:hint="eastAsia"/>
          <w:lang w:eastAsia="ko-KR"/>
        </w:rPr>
        <w:t>structure</w:t>
      </w:r>
    </w:p>
    <w:p w14:paraId="0AAAB9DC" w14:textId="77777777" w:rsidR="00C63053" w:rsidRDefault="006B470D" w:rsidP="00763995">
      <w:r w:rsidRPr="006B470D">
        <w:t xml:space="preserve">In NR, the </w:t>
      </w:r>
      <w:r w:rsidR="00763995">
        <w:rPr>
          <w:rFonts w:hint="eastAsia"/>
        </w:rPr>
        <w:t>DL</w:t>
      </w:r>
      <w:r w:rsidRPr="006B470D">
        <w:t xml:space="preserve"> control channel was designed with careful consideration, as it plays a fundamental role in scheduling and reliable system operation</w:t>
      </w:r>
      <w:r w:rsidRPr="006B470D">
        <w:rPr>
          <w:lang w:val="en-US"/>
        </w:rPr>
        <w:t xml:space="preserve">. </w:t>
      </w:r>
      <w:r>
        <w:rPr>
          <w:rFonts w:hint="eastAsia"/>
          <w:lang w:val="en-US"/>
        </w:rPr>
        <w:t>The k</w:t>
      </w:r>
      <w:r w:rsidRPr="006B470D">
        <w:rPr>
          <w:lang w:val="en-US"/>
        </w:rPr>
        <w:t>ey design principles include</w:t>
      </w:r>
      <w:r w:rsidR="00763995">
        <w:rPr>
          <w:rFonts w:hint="eastAsia"/>
          <w:lang w:val="en-US"/>
        </w:rPr>
        <w:t>d</w:t>
      </w:r>
      <w:r w:rsidRPr="006B470D">
        <w:rPr>
          <w:lang w:val="en-US"/>
        </w:rPr>
        <w:t xml:space="preserve"> enabling forward compatibility and enhanced flexibility, reducing unnecessary complexity in control signaling operation, and achieving reliable control channel performance with coverage comparable to (or better than) LTE PDCCH. </w:t>
      </w:r>
      <w:r>
        <w:rPr>
          <w:rFonts w:hint="eastAsia"/>
          <w:lang w:val="en-US"/>
        </w:rPr>
        <w:t xml:space="preserve">As an outcome, </w:t>
      </w:r>
      <w:r w:rsidRPr="006B470D">
        <w:t xml:space="preserve">NR provides a clean separation between CORESET properties and search space set properties for PDCCH </w:t>
      </w:r>
      <w:r>
        <w:rPr>
          <w:rFonts w:hint="eastAsia"/>
        </w:rPr>
        <w:t xml:space="preserve">resource </w:t>
      </w:r>
      <w:r w:rsidRPr="006B470D">
        <w:t>configuration and monitoring</w:t>
      </w:r>
      <w:r>
        <w:rPr>
          <w:rFonts w:hint="eastAsia"/>
        </w:rPr>
        <w:t>.</w:t>
      </w:r>
      <w:r>
        <w:rPr>
          <w:rFonts w:hint="eastAsia"/>
          <w:lang w:val="en-US"/>
        </w:rPr>
        <w:t xml:space="preserve"> </w:t>
      </w:r>
      <w:r w:rsidRPr="006B470D">
        <w:rPr>
          <w:lang w:val="en-US"/>
        </w:rPr>
        <w:t xml:space="preserve">This separation provides an efficient way to configure time–frequency resources and monitoring behavior with sufficient degrees of freedom for different deployments and UE types. For </w:t>
      </w:r>
      <w:r>
        <w:rPr>
          <w:rFonts w:hint="eastAsia"/>
          <w:lang w:val="en-US"/>
        </w:rPr>
        <w:t>6GR</w:t>
      </w:r>
      <w:r w:rsidRPr="006B470D">
        <w:rPr>
          <w:lang w:val="en-US"/>
        </w:rPr>
        <w:t xml:space="preserve">, </w:t>
      </w:r>
      <w:r w:rsidR="006A0929" w:rsidRPr="00763995">
        <w:t xml:space="preserve">there </w:t>
      </w:r>
      <w:r w:rsidR="006A0929">
        <w:rPr>
          <w:rFonts w:hint="eastAsia"/>
        </w:rPr>
        <w:t>seems</w:t>
      </w:r>
      <w:r w:rsidR="006A0929" w:rsidRPr="00763995">
        <w:t xml:space="preserve"> no strong reason to redesign these fundamentals</w:t>
      </w:r>
      <w:r w:rsidR="006A0929">
        <w:rPr>
          <w:rFonts w:hint="eastAsia"/>
        </w:rPr>
        <w:t xml:space="preserve">, </w:t>
      </w:r>
      <w:r w:rsidR="006A0929" w:rsidRPr="006A0929">
        <w:t>and therefore the same concept can be reused as a baseline</w:t>
      </w:r>
      <w:r w:rsidR="006A0929">
        <w:rPr>
          <w:rFonts w:hint="eastAsia"/>
          <w:lang w:val="en-US"/>
        </w:rPr>
        <w:t>.</w:t>
      </w:r>
      <w:r w:rsidR="00E312BE" w:rsidRPr="00E312BE">
        <w:t xml:space="preserve"> In addition, 6GR should aim for a streamlined control resource framework from Day 1, avoiding excessive configuration fragmentation observed in NR evolution.</w:t>
      </w:r>
    </w:p>
    <w:p w14:paraId="4B5E25D8" w14:textId="5A18F638" w:rsidR="00763995" w:rsidRPr="00763995" w:rsidRDefault="00763995" w:rsidP="00763995">
      <w:pPr>
        <w:rPr>
          <w:b/>
          <w:bCs/>
          <w:lang w:val="en-US"/>
        </w:rPr>
      </w:pPr>
      <w:r w:rsidRPr="00763995">
        <w:rPr>
          <w:b/>
          <w:bCs/>
          <w:lang w:val="en-US"/>
        </w:rPr>
        <w:t xml:space="preserve">Proposal 1: </w:t>
      </w:r>
      <w:r w:rsidR="000A4F52">
        <w:rPr>
          <w:rFonts w:hint="eastAsia"/>
          <w:b/>
          <w:bCs/>
          <w:lang w:val="en-US"/>
        </w:rPr>
        <w:t>For 6GR PDCCH resource configuration,</w:t>
      </w:r>
      <w:r w:rsidRPr="00763995">
        <w:rPr>
          <w:b/>
          <w:bCs/>
          <w:lang w:val="en-US"/>
        </w:rPr>
        <w:t xml:space="preserve"> take the NR framework as the baseline</w:t>
      </w:r>
      <w:r w:rsidR="00D624BC">
        <w:rPr>
          <w:rFonts w:hint="eastAsia"/>
          <w:b/>
          <w:bCs/>
          <w:lang w:val="en-US"/>
        </w:rPr>
        <w:t>,</w:t>
      </w:r>
      <w:r w:rsidRPr="00763995">
        <w:rPr>
          <w:b/>
          <w:bCs/>
          <w:lang w:val="en-US"/>
        </w:rPr>
        <w:t xml:space="preserve"> </w:t>
      </w:r>
      <w:r w:rsidRPr="00763995">
        <w:rPr>
          <w:b/>
          <w:bCs/>
          <w:lang w:val="en-US"/>
        </w:rPr>
        <w:lastRenderedPageBreak/>
        <w:t>reusing CORESET properties and search space set properties as the starting point</w:t>
      </w:r>
      <w:r w:rsidR="00E312BE">
        <w:rPr>
          <w:rFonts w:hint="eastAsia"/>
          <w:b/>
          <w:bCs/>
          <w:lang w:val="en-US"/>
        </w:rPr>
        <w:t xml:space="preserve">, </w:t>
      </w:r>
      <w:r w:rsidR="00E312BE" w:rsidRPr="00E312BE">
        <w:rPr>
          <w:b/>
          <w:bCs/>
        </w:rPr>
        <w:t>while aiming for a streamlined Day-1 configuration framework that avoids excessive option fragmentation</w:t>
      </w:r>
      <w:r w:rsidRPr="00763995">
        <w:rPr>
          <w:b/>
          <w:bCs/>
          <w:lang w:val="en-US"/>
        </w:rPr>
        <w:t>.</w:t>
      </w:r>
    </w:p>
    <w:p w14:paraId="25615B4F" w14:textId="77777777" w:rsidR="006B470D" w:rsidRPr="000A4F52" w:rsidRDefault="006B470D" w:rsidP="006B470D">
      <w:pPr>
        <w:rPr>
          <w:lang w:val="en-US"/>
        </w:rPr>
      </w:pPr>
    </w:p>
    <w:p w14:paraId="3740A8BB" w14:textId="37FD8BAD" w:rsidR="00763995" w:rsidRPr="00763995" w:rsidRDefault="00763995" w:rsidP="00763995">
      <w:pPr>
        <w:rPr>
          <w:lang w:val="en-US"/>
        </w:rPr>
      </w:pPr>
      <w:r w:rsidRPr="00763995">
        <w:rPr>
          <w:lang w:val="en-US"/>
        </w:rPr>
        <w:t xml:space="preserve">From </w:t>
      </w:r>
      <w:r>
        <w:rPr>
          <w:rFonts w:hint="eastAsia"/>
          <w:lang w:val="en-US"/>
        </w:rPr>
        <w:t>the</w:t>
      </w:r>
      <w:r w:rsidRPr="00763995">
        <w:rPr>
          <w:lang w:val="en-US"/>
        </w:rPr>
        <w:t xml:space="preserve"> MRSS perspective, it is also beneficial if NR and 6GR can share </w:t>
      </w:r>
      <w:r>
        <w:rPr>
          <w:rFonts w:hint="eastAsia"/>
          <w:lang w:val="en-US"/>
        </w:rPr>
        <w:t>DL</w:t>
      </w:r>
      <w:r w:rsidRPr="00763995">
        <w:rPr>
          <w:lang w:val="en-US"/>
        </w:rPr>
        <w:t xml:space="preserve"> control </w:t>
      </w:r>
      <w:r>
        <w:rPr>
          <w:rFonts w:hint="eastAsia"/>
          <w:lang w:val="en-US"/>
        </w:rPr>
        <w:t xml:space="preserve">channel </w:t>
      </w:r>
      <w:r w:rsidRPr="00763995">
        <w:rPr>
          <w:lang w:val="en-US"/>
        </w:rPr>
        <w:t xml:space="preserve">resources as much as possible, in order to improve overall spectrum utilization. In such deployments, harmonizing the basic PDCCH resource </w:t>
      </w:r>
      <w:r>
        <w:rPr>
          <w:rFonts w:hint="eastAsia"/>
          <w:lang w:val="en-US"/>
        </w:rPr>
        <w:t xml:space="preserve">mapping </w:t>
      </w:r>
      <w:r w:rsidRPr="00763995">
        <w:rPr>
          <w:lang w:val="en-US"/>
        </w:rPr>
        <w:t>granularity between NR and 6GR can further simplify control</w:t>
      </w:r>
      <w:r>
        <w:rPr>
          <w:rFonts w:hint="eastAsia"/>
          <w:lang w:val="en-US"/>
        </w:rPr>
        <w:t xml:space="preserve"> channel</w:t>
      </w:r>
      <w:r w:rsidRPr="00763995">
        <w:rPr>
          <w:lang w:val="en-US"/>
        </w:rPr>
        <w:t xml:space="preserve"> multiplexing and reduce constraints for scheduling. In particular, reusing the NR CCE-to-REG mapping structure can be an effective way to keep the control region consistent across the two RATs, which helps the network to coordinate PDCCH transmissions more efficiently. Therefore, </w:t>
      </w:r>
      <w:r w:rsidR="00D624BC" w:rsidRPr="00D624BC">
        <w:t>at least for 6GR CORESET with duration up to 3 symbols, the study on 6GR PDCCH can take the NR CCE-to-REG mapping principles as the baseline</w:t>
      </w:r>
      <w:r w:rsidRPr="00763995">
        <w:rPr>
          <w:lang w:val="en-US"/>
        </w:rPr>
        <w:t>, while studying whether any modification is needed considering 6GR-specific requirements and potential performance benefits.</w:t>
      </w:r>
    </w:p>
    <w:p w14:paraId="4695D2F1" w14:textId="72446924" w:rsidR="00763995" w:rsidRPr="00763995" w:rsidRDefault="00763995" w:rsidP="00763995">
      <w:pPr>
        <w:rPr>
          <w:b/>
          <w:bCs/>
          <w:lang w:val="en-US"/>
        </w:rPr>
      </w:pPr>
      <w:r w:rsidRPr="00763995">
        <w:rPr>
          <w:b/>
          <w:bCs/>
          <w:lang w:val="en-US"/>
        </w:rPr>
        <w:t xml:space="preserve">Proposal 2: </w:t>
      </w:r>
      <w:r w:rsidR="006A0929">
        <w:rPr>
          <w:rFonts w:hint="eastAsia"/>
          <w:b/>
          <w:bCs/>
          <w:lang w:val="en-US"/>
        </w:rPr>
        <w:t>For 6GR, a</w:t>
      </w:r>
      <w:r w:rsidR="00D624BC">
        <w:rPr>
          <w:rFonts w:hint="eastAsia"/>
          <w:b/>
          <w:bCs/>
          <w:lang w:val="en-US"/>
        </w:rPr>
        <w:t>t least f</w:t>
      </w:r>
      <w:r w:rsidR="000A4F52" w:rsidRPr="000A4F52">
        <w:rPr>
          <w:rFonts w:hint="eastAsia"/>
          <w:b/>
          <w:bCs/>
          <w:lang w:val="en-US"/>
        </w:rPr>
        <w:t xml:space="preserve">or </w:t>
      </w:r>
      <w:r w:rsidR="000A4F52">
        <w:rPr>
          <w:rFonts w:hint="eastAsia"/>
          <w:b/>
          <w:bCs/>
          <w:lang w:val="en-US"/>
        </w:rPr>
        <w:t>CORESET</w:t>
      </w:r>
      <w:r w:rsidR="00D624BC">
        <w:rPr>
          <w:rFonts w:hint="eastAsia"/>
          <w:b/>
          <w:bCs/>
          <w:lang w:val="en-US"/>
        </w:rPr>
        <w:t xml:space="preserve"> with duration up to 3 symbols</w:t>
      </w:r>
      <w:r w:rsidR="000A4F52" w:rsidRPr="000A4F52">
        <w:rPr>
          <w:rFonts w:hint="eastAsia"/>
          <w:b/>
          <w:bCs/>
          <w:lang w:val="en-US"/>
        </w:rPr>
        <w:t xml:space="preserve">, take </w:t>
      </w:r>
      <w:r w:rsidRPr="00763995">
        <w:rPr>
          <w:b/>
          <w:bCs/>
          <w:lang w:val="en-US"/>
        </w:rPr>
        <w:t xml:space="preserve">the NR CCE-to-REG mapping structure </w:t>
      </w:r>
      <w:r w:rsidR="00702836">
        <w:rPr>
          <w:rFonts w:hint="eastAsia"/>
          <w:b/>
          <w:bCs/>
          <w:lang w:val="en-US"/>
        </w:rPr>
        <w:t xml:space="preserve">and the CCE aggregation </w:t>
      </w:r>
      <w:r w:rsidRPr="00763995">
        <w:rPr>
          <w:b/>
          <w:bCs/>
          <w:lang w:val="en-US"/>
        </w:rPr>
        <w:t>as the baseline.</w:t>
      </w:r>
    </w:p>
    <w:p w14:paraId="38A2C7CB" w14:textId="77777777" w:rsidR="006B470D" w:rsidRPr="00702836" w:rsidRDefault="006B470D" w:rsidP="006B470D">
      <w:pPr>
        <w:rPr>
          <w:lang w:val="en-US"/>
        </w:rPr>
      </w:pPr>
    </w:p>
    <w:p w14:paraId="2559D7AE" w14:textId="2D5BEF6F" w:rsidR="002F6C2C" w:rsidRDefault="002F6C2C" w:rsidP="002F6C2C">
      <w:pPr>
        <w:rPr>
          <w:lang w:val="en-US"/>
        </w:rPr>
      </w:pPr>
      <w:r w:rsidRPr="002F6C2C">
        <w:rPr>
          <w:lang w:val="en-US"/>
        </w:rPr>
        <w:t xml:space="preserve">Although </w:t>
      </w:r>
      <w:r w:rsidR="00702836">
        <w:rPr>
          <w:rFonts w:hint="eastAsia"/>
          <w:lang w:val="en-US"/>
        </w:rPr>
        <w:t xml:space="preserve">the design for </w:t>
      </w:r>
      <w:r w:rsidRPr="002F6C2C">
        <w:rPr>
          <w:lang w:val="en-US"/>
        </w:rPr>
        <w:t>6GR PDCCH can start from the NR framework, extensions and improvements are still needed for some aspects, and PDCCH coverage is a primary focus. In particular, 6GR should provide comparable control channel coverage across a wide range of deployment scenarios, including challenging environments such as NTN and upper mid-band operation</w:t>
      </w:r>
      <w:r w:rsidR="00881F76">
        <w:rPr>
          <w:rFonts w:hint="eastAsia"/>
          <w:lang w:val="en-US"/>
        </w:rPr>
        <w:t>s</w:t>
      </w:r>
      <w:r w:rsidRPr="002F6C2C">
        <w:rPr>
          <w:lang w:val="en-US"/>
        </w:rPr>
        <w:t xml:space="preserve">, where link budget and propagation conditions can differ significantly from typical sub-6 GHz macro deployments. At the same time, coverage enhancement should also account for </w:t>
      </w:r>
      <w:r>
        <w:rPr>
          <w:rFonts w:hint="eastAsia"/>
          <w:lang w:val="en-US"/>
        </w:rPr>
        <w:t>the minimum spectrum allocation (i.e., 3 MHz) and the smallest maximum UE bandwidth (</w:t>
      </w:r>
      <w:r w:rsidRPr="002F6C2C">
        <w:rPr>
          <w:lang w:val="en-US"/>
        </w:rPr>
        <w:t>for example</w:t>
      </w:r>
      <w:r>
        <w:rPr>
          <w:rFonts w:hint="eastAsia"/>
          <w:lang w:val="en-US"/>
        </w:rPr>
        <w:t>,</w:t>
      </w:r>
      <w:r w:rsidRPr="002F6C2C">
        <w:rPr>
          <w:lang w:val="en-US"/>
        </w:rPr>
        <w:t xml:space="preserve"> 5 MHz in FDD</w:t>
      </w:r>
      <w:r w:rsidR="007C6AA0">
        <w:rPr>
          <w:rFonts w:hint="eastAsia"/>
          <w:lang w:val="en-US"/>
        </w:rPr>
        <w:t xml:space="preserve"> bands</w:t>
      </w:r>
      <w:r w:rsidRPr="002F6C2C">
        <w:rPr>
          <w:lang w:val="en-US"/>
        </w:rPr>
        <w:t xml:space="preserve"> or 10 MHz in TDD </w:t>
      </w:r>
      <w:r w:rsidR="007C6AA0">
        <w:rPr>
          <w:rFonts w:hint="eastAsia"/>
          <w:lang w:val="en-US"/>
        </w:rPr>
        <w:t xml:space="preserve">bands </w:t>
      </w:r>
      <w:r w:rsidRPr="002F6C2C">
        <w:rPr>
          <w:lang w:val="en-US"/>
        </w:rPr>
        <w:t>with 15 kHz SCS</w:t>
      </w:r>
      <w:r>
        <w:rPr>
          <w:rFonts w:hint="eastAsia"/>
          <w:lang w:val="en-US"/>
        </w:rPr>
        <w:t>)</w:t>
      </w:r>
      <w:r w:rsidRPr="002F6C2C">
        <w:rPr>
          <w:lang w:val="en-US"/>
        </w:rPr>
        <w:t xml:space="preserve">. Under such bandwidth constraints, improving PDCCH robustness by simply allocating more frequency-domain resources is not always feasible, and time-domain extension becomes an important design </w:t>
      </w:r>
      <w:r w:rsidR="00881F76">
        <w:rPr>
          <w:rFonts w:hint="eastAsia"/>
          <w:lang w:val="en-US"/>
        </w:rPr>
        <w:t>consideration</w:t>
      </w:r>
      <w:r w:rsidRPr="002F6C2C">
        <w:rPr>
          <w:lang w:val="en-US"/>
        </w:rPr>
        <w:t>.</w:t>
      </w:r>
    </w:p>
    <w:p w14:paraId="4657ABC8" w14:textId="5640196A" w:rsidR="007861AD" w:rsidRDefault="00AE69E7" w:rsidP="002F6C2C">
      <w:r w:rsidRPr="00AE69E7">
        <w:t xml:space="preserve">Such time-domain extension can be realized </w:t>
      </w:r>
      <w:r>
        <w:rPr>
          <w:rFonts w:hint="eastAsia"/>
        </w:rPr>
        <w:t>through</w:t>
      </w:r>
      <w:r w:rsidRPr="00AE69E7">
        <w:t xml:space="preserve"> </w:t>
      </w:r>
      <w:r>
        <w:rPr>
          <w:rFonts w:hint="eastAsia"/>
        </w:rPr>
        <w:t>two options</w:t>
      </w:r>
      <w:r w:rsidR="002F6C2C" w:rsidRPr="002F6C2C">
        <w:t>: (1) PDCCH repetition, and (2) increasing CORESET duration.</w:t>
      </w:r>
      <w:r w:rsidR="002F6C2C">
        <w:rPr>
          <w:rFonts w:hint="eastAsia"/>
        </w:rPr>
        <w:t xml:space="preserve"> </w:t>
      </w:r>
      <w:r w:rsidR="002F6C2C" w:rsidRPr="002F6C2C">
        <w:rPr>
          <w:lang w:val="en-US"/>
        </w:rPr>
        <w:t>While repetition-based enhancement has been the primary approach in NR</w:t>
      </w:r>
      <w:r w:rsidR="002F6C2C" w:rsidRPr="002F6C2C">
        <w:t xml:space="preserve"> to avoid </w:t>
      </w:r>
      <w:r w:rsidR="00881F76">
        <w:rPr>
          <w:rFonts w:hint="eastAsia"/>
        </w:rPr>
        <w:t>modifying</w:t>
      </w:r>
      <w:r w:rsidR="002F6C2C" w:rsidRPr="002F6C2C">
        <w:t xml:space="preserve"> the Rel-15 CORESET structure</w:t>
      </w:r>
      <w:r w:rsidR="002F6C2C" w:rsidRPr="002F6C2C">
        <w:rPr>
          <w:lang w:val="en-US"/>
        </w:rPr>
        <w:t xml:space="preserve">, </w:t>
      </w:r>
      <w:r w:rsidR="002F6C2C" w:rsidRPr="002F6C2C">
        <w:t>6GR can directly consider the latter approach</w:t>
      </w:r>
      <w:r w:rsidR="002F6C2C" w:rsidRPr="002F6C2C">
        <w:rPr>
          <w:lang w:val="en-US"/>
        </w:rPr>
        <w:t>.</w:t>
      </w:r>
      <w:r w:rsidR="00D624BC" w:rsidRPr="00D624BC">
        <w:t xml:space="preserve"> Nevertheless, PDCCH repetition may still be needed in some scenarios, and both options </w:t>
      </w:r>
      <w:r w:rsidR="00881F76">
        <w:rPr>
          <w:rFonts w:hint="eastAsia"/>
        </w:rPr>
        <w:t xml:space="preserve">should </w:t>
      </w:r>
      <w:r w:rsidR="00D624BC" w:rsidRPr="00D624BC">
        <w:t>remain open for discussion.</w:t>
      </w:r>
      <w:r w:rsidR="00881F76">
        <w:rPr>
          <w:rFonts w:hint="eastAsia"/>
        </w:rPr>
        <w:t xml:space="preserve"> </w:t>
      </w:r>
      <w:r w:rsidR="00881F76" w:rsidRPr="00881F76">
        <w:t xml:space="preserve">Considering </w:t>
      </w:r>
      <w:r w:rsidR="00881F76">
        <w:rPr>
          <w:rFonts w:hint="eastAsia"/>
        </w:rPr>
        <w:t xml:space="preserve">the aforementioned </w:t>
      </w:r>
      <w:r w:rsidR="00881F76" w:rsidRPr="00881F76">
        <w:t>bandwidth constraints, it is reasonable for 6GR to at least support a CORESET duration up to 6 symbols</w:t>
      </w:r>
      <w:r w:rsidR="00881F76">
        <w:rPr>
          <w:rFonts w:hint="eastAsia"/>
        </w:rPr>
        <w:t>, which</w:t>
      </w:r>
      <w:r w:rsidR="00881F76" w:rsidRPr="00881F76">
        <w:t xml:space="preserve"> </w:t>
      </w:r>
      <w:r w:rsidR="00881F76">
        <w:rPr>
          <w:rFonts w:hint="eastAsia"/>
        </w:rPr>
        <w:t xml:space="preserve">corresponds to around 144 REGs </w:t>
      </w:r>
      <w:r w:rsidR="005C26B7">
        <w:rPr>
          <w:rFonts w:hint="eastAsia"/>
        </w:rPr>
        <w:t xml:space="preserve">(i.e., </w:t>
      </w:r>
      <w:r w:rsidR="00881F76">
        <w:rPr>
          <w:rFonts w:hint="eastAsia"/>
        </w:rPr>
        <w:t>24 CCEs</w:t>
      </w:r>
      <w:r w:rsidR="005C26B7">
        <w:rPr>
          <w:rFonts w:hint="eastAsia"/>
        </w:rPr>
        <w:t>)</w:t>
      </w:r>
      <w:r w:rsidR="00881F76">
        <w:rPr>
          <w:rFonts w:hint="eastAsia"/>
        </w:rPr>
        <w:t xml:space="preserve"> under 5 MHz bandwidth. </w:t>
      </w:r>
      <w:r w:rsidR="007861AD" w:rsidRPr="007861AD">
        <w:t xml:space="preserve">If </w:t>
      </w:r>
      <w:r w:rsidR="007861AD">
        <w:rPr>
          <w:rFonts w:hint="eastAsia"/>
        </w:rPr>
        <w:t xml:space="preserve">it is required to </w:t>
      </w:r>
      <w:r w:rsidR="007861AD" w:rsidRPr="007861AD">
        <w:t xml:space="preserve">support </w:t>
      </w:r>
      <w:r w:rsidR="007861AD">
        <w:rPr>
          <w:rFonts w:hint="eastAsia"/>
        </w:rPr>
        <w:t>AL</w:t>
      </w:r>
      <w:r w:rsidR="007861AD" w:rsidRPr="007861AD">
        <w:t xml:space="preserve"> beyond 16 or provid</w:t>
      </w:r>
      <w:r w:rsidR="007861AD">
        <w:rPr>
          <w:rFonts w:hint="eastAsia"/>
        </w:rPr>
        <w:t>e</w:t>
      </w:r>
      <w:r w:rsidR="007861AD" w:rsidRPr="007861AD">
        <w:t xml:space="preserve"> higher </w:t>
      </w:r>
      <w:r w:rsidR="007861AD">
        <w:rPr>
          <w:rFonts w:hint="eastAsia"/>
        </w:rPr>
        <w:t xml:space="preserve">PDCCH </w:t>
      </w:r>
      <w:r w:rsidR="007861AD" w:rsidRPr="007861AD">
        <w:t>multiplexing capacity under such narrow bandwidth conditions, extending the CORESET duration beyond 6 symbols can also be considered</w:t>
      </w:r>
      <w:r w:rsidR="007861AD">
        <w:rPr>
          <w:rFonts w:hint="eastAsia"/>
        </w:rPr>
        <w:t>.</w:t>
      </w:r>
    </w:p>
    <w:p w14:paraId="6DC7E45E" w14:textId="4038FBF7" w:rsidR="00D624BC" w:rsidRDefault="00D624BC" w:rsidP="006B470D">
      <w:pPr>
        <w:rPr>
          <w:b/>
          <w:bCs/>
        </w:rPr>
      </w:pPr>
      <w:r w:rsidRPr="002D4E7A">
        <w:rPr>
          <w:b/>
          <w:bCs/>
        </w:rPr>
        <w:t xml:space="preserve">Proposal 3: Study time-domain extension </w:t>
      </w:r>
      <w:r w:rsidRPr="002D4E7A">
        <w:rPr>
          <w:rFonts w:hint="eastAsia"/>
          <w:b/>
          <w:bCs/>
        </w:rPr>
        <w:t xml:space="preserve">of </w:t>
      </w:r>
      <w:r w:rsidR="002D4E7A" w:rsidRPr="002D4E7A">
        <w:rPr>
          <w:rFonts w:hint="eastAsia"/>
          <w:b/>
          <w:bCs/>
        </w:rPr>
        <w:t>PDCCH resources</w:t>
      </w:r>
      <w:r w:rsidRPr="002D4E7A">
        <w:rPr>
          <w:rFonts w:hint="eastAsia"/>
          <w:b/>
          <w:bCs/>
        </w:rPr>
        <w:t xml:space="preserve"> </w:t>
      </w:r>
      <w:r w:rsidRPr="002D4E7A">
        <w:rPr>
          <w:b/>
          <w:bCs/>
        </w:rPr>
        <w:t>for improving PDCCH coverage</w:t>
      </w:r>
      <w:r w:rsidR="002D4E7A" w:rsidRPr="002D4E7A">
        <w:rPr>
          <w:rFonts w:hint="eastAsia"/>
          <w:b/>
          <w:bCs/>
        </w:rPr>
        <w:t xml:space="preserve"> in 6GR</w:t>
      </w:r>
      <w:r w:rsidRPr="002D4E7A">
        <w:rPr>
          <w:b/>
          <w:bCs/>
        </w:rPr>
        <w:t>, including</w:t>
      </w:r>
      <w:r w:rsidR="002D4E7A" w:rsidRPr="002D4E7A">
        <w:rPr>
          <w:rFonts w:hint="eastAsia"/>
          <w:b/>
          <w:bCs/>
        </w:rPr>
        <w:t>:</w:t>
      </w:r>
      <w:r w:rsidRPr="002D4E7A">
        <w:rPr>
          <w:b/>
          <w:bCs/>
        </w:rPr>
        <w:t xml:space="preserve"> </w:t>
      </w:r>
      <w:r w:rsidRPr="002D4E7A">
        <w:rPr>
          <w:rFonts w:hint="eastAsia"/>
          <w:b/>
          <w:bCs/>
        </w:rPr>
        <w:t xml:space="preserve">(1) PDCCH </w:t>
      </w:r>
      <w:r w:rsidRPr="002D4E7A">
        <w:rPr>
          <w:b/>
          <w:bCs/>
        </w:rPr>
        <w:t>rep</w:t>
      </w:r>
      <w:r w:rsidRPr="002D4E7A">
        <w:rPr>
          <w:rFonts w:hint="eastAsia"/>
          <w:b/>
          <w:bCs/>
        </w:rPr>
        <w:t xml:space="preserve">etition, and (2) </w:t>
      </w:r>
      <w:r w:rsidRPr="002D4E7A">
        <w:rPr>
          <w:b/>
          <w:bCs/>
        </w:rPr>
        <w:t>supporting a maximum CORESET duration larger than 3 symbols</w:t>
      </w:r>
      <w:r w:rsidR="007861AD">
        <w:rPr>
          <w:rFonts w:hint="eastAsia"/>
          <w:b/>
          <w:bCs/>
        </w:rPr>
        <w:t>.</w:t>
      </w:r>
    </w:p>
    <w:p w14:paraId="29F79C27" w14:textId="2189DF93" w:rsidR="007861AD" w:rsidRPr="002D4E7A" w:rsidRDefault="007861AD" w:rsidP="006B470D">
      <w:pPr>
        <w:rPr>
          <w:b/>
          <w:bCs/>
          <w:lang w:val="en-US"/>
        </w:rPr>
      </w:pPr>
      <w:r>
        <w:rPr>
          <w:rFonts w:hint="eastAsia"/>
          <w:b/>
          <w:bCs/>
        </w:rPr>
        <w:t xml:space="preserve">Proposal 4: </w:t>
      </w:r>
      <w:r w:rsidRPr="007861AD">
        <w:rPr>
          <w:b/>
          <w:bCs/>
        </w:rPr>
        <w:t>Study supporting a maximum 6GR CORESET duration of at least 6 OFDM symbols</w:t>
      </w:r>
      <w:r>
        <w:rPr>
          <w:rFonts w:hint="eastAsia"/>
          <w:b/>
          <w:bCs/>
        </w:rPr>
        <w:t>.</w:t>
      </w:r>
    </w:p>
    <w:p w14:paraId="5DDDE1FA" w14:textId="77777777" w:rsidR="00C43BA8" w:rsidRDefault="00C43BA8" w:rsidP="006B470D">
      <w:pPr>
        <w:rPr>
          <w:lang w:val="en-US"/>
        </w:rPr>
      </w:pPr>
    </w:p>
    <w:p w14:paraId="5D193D0A" w14:textId="5129A907" w:rsidR="00AE69E7" w:rsidRDefault="00AE69E7" w:rsidP="00AE69E7">
      <w:pPr>
        <w:rPr>
          <w:lang w:val="en-US"/>
        </w:rPr>
      </w:pPr>
      <w:r w:rsidRPr="00AE69E7">
        <w:rPr>
          <w:lang w:val="en-US"/>
        </w:rPr>
        <w:t xml:space="preserve">In addition, </w:t>
      </w:r>
      <w:r>
        <w:rPr>
          <w:rFonts w:hint="eastAsia"/>
          <w:lang w:val="en-US"/>
        </w:rPr>
        <w:t xml:space="preserve">QCL- and </w:t>
      </w:r>
      <w:r w:rsidRPr="00AE69E7">
        <w:rPr>
          <w:lang w:val="en-US"/>
        </w:rPr>
        <w:t xml:space="preserve">beam-related </w:t>
      </w:r>
      <w:r w:rsidR="007861AD">
        <w:rPr>
          <w:rFonts w:hint="eastAsia"/>
          <w:lang w:val="en-US"/>
        </w:rPr>
        <w:t>configurations</w:t>
      </w:r>
      <w:r w:rsidRPr="00AE69E7">
        <w:rPr>
          <w:lang w:val="en-US"/>
        </w:rPr>
        <w:t xml:space="preserve"> for </w:t>
      </w:r>
      <w:r w:rsidR="007861AD">
        <w:rPr>
          <w:rFonts w:hint="eastAsia"/>
          <w:lang w:val="en-US"/>
        </w:rPr>
        <w:t xml:space="preserve">the </w:t>
      </w:r>
      <w:r w:rsidRPr="00AE69E7">
        <w:rPr>
          <w:lang w:val="en-US"/>
        </w:rPr>
        <w:t xml:space="preserve">PDCCH monitoring should be revisited for 6GR. </w:t>
      </w:r>
      <w:r w:rsidR="005C26B7" w:rsidRPr="005C26B7">
        <w:rPr>
          <w:lang w:val="en-US"/>
        </w:rPr>
        <w:t>In NR, the TCI state for PDCCH monitoring is configured as part of the CORESET configuration</w:t>
      </w:r>
      <w:r w:rsidRPr="00AE69E7">
        <w:rPr>
          <w:lang w:val="en-US"/>
        </w:rPr>
        <w:t xml:space="preserve">, and UE typically applies </w:t>
      </w:r>
      <w:r>
        <w:rPr>
          <w:rFonts w:hint="eastAsia"/>
          <w:lang w:val="en-US"/>
        </w:rPr>
        <w:t>a</w:t>
      </w:r>
      <w:r w:rsidRPr="00AE69E7">
        <w:rPr>
          <w:lang w:val="en-US"/>
        </w:rPr>
        <w:t xml:space="preserve"> common </w:t>
      </w:r>
      <w:r>
        <w:rPr>
          <w:rFonts w:hint="eastAsia"/>
          <w:lang w:val="en-US"/>
        </w:rPr>
        <w:t>QCL</w:t>
      </w:r>
      <w:r w:rsidRPr="00AE69E7">
        <w:rPr>
          <w:lang w:val="en-US"/>
        </w:rPr>
        <w:t xml:space="preserve"> assumption within </w:t>
      </w:r>
      <w:r>
        <w:rPr>
          <w:rFonts w:hint="eastAsia"/>
          <w:lang w:val="en-US"/>
        </w:rPr>
        <w:t>the same</w:t>
      </w:r>
      <w:r w:rsidRPr="00AE69E7">
        <w:rPr>
          <w:lang w:val="en-US"/>
        </w:rPr>
        <w:t xml:space="preserve"> CORESET. This design is simple, but it may lead to an increased number of configured CORESETs when multi-TRP operation is required, which can add configuration overhead and reduce operational efficiency. For 6GR, it is desirable to support multi-TRP </w:t>
      </w:r>
      <w:r w:rsidR="007861AD">
        <w:rPr>
          <w:rFonts w:hint="eastAsia"/>
          <w:lang w:val="en-US"/>
        </w:rPr>
        <w:t>transmission</w:t>
      </w:r>
      <w:r w:rsidRPr="00AE69E7">
        <w:rPr>
          <w:lang w:val="en-US"/>
        </w:rPr>
        <w:t xml:space="preserve"> while keeping the number of CORESETs small. Therefore, it is worth studying whether the QCL/beam assumption can be handled at a different configuration granularity, </w:t>
      </w:r>
      <w:r w:rsidR="008011FC" w:rsidRPr="008011FC">
        <w:t>for example by defining the TCI state at the search space set level or per PDCCH DM-RS antenna port</w:t>
      </w:r>
      <w:r w:rsidRPr="00AE69E7">
        <w:rPr>
          <w:lang w:val="en-US"/>
        </w:rPr>
        <w:t xml:space="preserve">, so that multiple beams can </w:t>
      </w:r>
      <w:r w:rsidRPr="00AE69E7">
        <w:rPr>
          <w:lang w:val="en-US"/>
        </w:rPr>
        <w:lastRenderedPageBreak/>
        <w:t>be supported without unnecessarily increasing the number of CORESET configurations.</w:t>
      </w:r>
    </w:p>
    <w:p w14:paraId="2C479176" w14:textId="1E8497E1" w:rsidR="00AE69E7" w:rsidRPr="00AE69E7" w:rsidRDefault="00AE69E7" w:rsidP="00AE69E7">
      <w:pPr>
        <w:rPr>
          <w:b/>
          <w:bCs/>
          <w:lang w:val="en-US"/>
        </w:rPr>
      </w:pPr>
      <w:r w:rsidRPr="00AE69E7">
        <w:rPr>
          <w:b/>
          <w:bCs/>
          <w:lang w:val="en-US"/>
        </w:rPr>
        <w:t xml:space="preserve">Proposal </w:t>
      </w:r>
      <w:r w:rsidR="007861AD">
        <w:rPr>
          <w:rFonts w:hint="eastAsia"/>
          <w:b/>
          <w:bCs/>
          <w:lang w:val="en-US"/>
        </w:rPr>
        <w:t>5</w:t>
      </w:r>
      <w:r w:rsidRPr="00AE69E7">
        <w:rPr>
          <w:b/>
          <w:bCs/>
          <w:lang w:val="en-US"/>
        </w:rPr>
        <w:t>: Study the appropriate configuration granularity for QCL/beam assumptions for PDCCH monitoring (e.g., CORESET-level</w:t>
      </w:r>
      <w:r w:rsidR="008011FC">
        <w:rPr>
          <w:rFonts w:hint="eastAsia"/>
          <w:b/>
          <w:bCs/>
          <w:lang w:val="en-US"/>
        </w:rPr>
        <w:t xml:space="preserve"> vs. </w:t>
      </w:r>
      <w:r w:rsidRPr="00AE69E7">
        <w:rPr>
          <w:b/>
          <w:bCs/>
          <w:lang w:val="en-US"/>
        </w:rPr>
        <w:t>search space set-level</w:t>
      </w:r>
      <w:r w:rsidR="008011FC">
        <w:rPr>
          <w:rFonts w:hint="eastAsia"/>
          <w:b/>
          <w:bCs/>
          <w:lang w:val="en-US"/>
        </w:rPr>
        <w:t xml:space="preserve"> vs. antenna port-level</w:t>
      </w:r>
      <w:r w:rsidRPr="00AE69E7">
        <w:rPr>
          <w:b/>
          <w:bCs/>
          <w:lang w:val="en-US"/>
        </w:rPr>
        <w:t>).</w:t>
      </w:r>
    </w:p>
    <w:p w14:paraId="321C67D8" w14:textId="77777777" w:rsidR="00EE3662" w:rsidRPr="007861AD" w:rsidRDefault="00EE3662" w:rsidP="00EE3662">
      <w:pPr>
        <w:rPr>
          <w:lang w:val="en-US"/>
        </w:rPr>
      </w:pPr>
    </w:p>
    <w:p w14:paraId="1FCD16AC" w14:textId="141D15D9" w:rsidR="00EE3662" w:rsidRDefault="00EE3662" w:rsidP="00EE3662">
      <w:pPr>
        <w:pStyle w:val="1"/>
        <w:rPr>
          <w:lang w:eastAsia="ko-KR"/>
        </w:rPr>
      </w:pPr>
      <w:r>
        <w:rPr>
          <w:rFonts w:hint="eastAsia"/>
          <w:lang w:eastAsia="ko-KR"/>
        </w:rPr>
        <w:t>PDCCH transmission</w:t>
      </w:r>
    </w:p>
    <w:p w14:paraId="78CAB389" w14:textId="46464D41" w:rsidR="00F074B8" w:rsidRDefault="00F074B8" w:rsidP="00EE3662">
      <w:r w:rsidRPr="00EE3662">
        <w:rPr>
          <w:lang w:val="en-US"/>
        </w:rPr>
        <w:t>In NR, PDCCH transmission is limited to a single DM-RS port and effectively supports only single-layer transmission</w:t>
      </w:r>
      <w:r>
        <w:rPr>
          <w:rFonts w:hint="eastAsia"/>
          <w:lang w:val="en-US"/>
        </w:rPr>
        <w:t>,</w:t>
      </w:r>
      <w:r w:rsidRPr="00F074B8">
        <w:t xml:space="preserve"> which keeps the receiver processing and </w:t>
      </w:r>
      <w:proofErr w:type="spellStart"/>
      <w:r w:rsidRPr="00F074B8">
        <w:t>signaling</w:t>
      </w:r>
      <w:proofErr w:type="spellEnd"/>
      <w:r w:rsidRPr="00F074B8">
        <w:t xml:space="preserve"> design simple. However, this also limits the set of transmission modes available for </w:t>
      </w:r>
      <w:r w:rsidR="007861AD">
        <w:rPr>
          <w:rFonts w:hint="eastAsia"/>
        </w:rPr>
        <w:t>DL</w:t>
      </w:r>
      <w:r w:rsidRPr="00F074B8">
        <w:t xml:space="preserve"> control. For 6GR, enabling additional DM-RS ports can be viewed as providing more operational options, such as multiplexing control for multiple UEs on shared resources </w:t>
      </w:r>
      <w:r w:rsidR="009536B7" w:rsidRPr="009536B7">
        <w:t>(e.g., orthogonal MU-MIMO)</w:t>
      </w:r>
      <w:r w:rsidR="009536B7">
        <w:rPr>
          <w:rFonts w:hint="eastAsia"/>
        </w:rPr>
        <w:t xml:space="preserve"> </w:t>
      </w:r>
      <w:r w:rsidRPr="00F074B8">
        <w:t>and supporting more advanced spatial processing when it is beneficial.</w:t>
      </w:r>
    </w:p>
    <w:p w14:paraId="546A2C24" w14:textId="22AC9746" w:rsidR="00F074B8" w:rsidRDefault="00F074B8" w:rsidP="00EE3662">
      <w:r w:rsidRPr="00F074B8">
        <w:t xml:space="preserve">In particular, in upper mid-band deployments with larger antenna arrays, the feasibility and benefit of additional spatial modes for control </w:t>
      </w:r>
      <w:proofErr w:type="spellStart"/>
      <w:r w:rsidRPr="00F074B8">
        <w:t>signaling</w:t>
      </w:r>
      <w:proofErr w:type="spellEnd"/>
      <w:r w:rsidRPr="00F074B8">
        <w:t xml:space="preserve"> may be different from sub-6 GHz cases and </w:t>
      </w:r>
      <w:r>
        <w:rPr>
          <w:rFonts w:hint="eastAsia"/>
        </w:rPr>
        <w:t>can</w:t>
      </w:r>
      <w:r w:rsidRPr="00F074B8">
        <w:t xml:space="preserve"> be evaluated accordingly. In addition, </w:t>
      </w:r>
      <w:r>
        <w:rPr>
          <w:rFonts w:hint="eastAsia"/>
        </w:rPr>
        <w:t>the</w:t>
      </w:r>
      <w:r w:rsidRPr="00F074B8">
        <w:t xml:space="preserve"> multi-port </w:t>
      </w:r>
      <w:r>
        <w:rPr>
          <w:rFonts w:hint="eastAsia"/>
        </w:rPr>
        <w:t>DM-RS</w:t>
      </w:r>
      <w:r w:rsidRPr="00F074B8">
        <w:t xml:space="preserve"> can be useful for </w:t>
      </w:r>
      <w:r w:rsidR="007861AD">
        <w:rPr>
          <w:rFonts w:hint="eastAsia"/>
        </w:rPr>
        <w:t xml:space="preserve">the </w:t>
      </w:r>
      <w:r w:rsidRPr="00F074B8">
        <w:t xml:space="preserve">MRSS where an NR UE and a 6GR UE may coexist on the same carrier. With two DM-RS antenna ports, two PDCCHs can be </w:t>
      </w:r>
      <w:r>
        <w:rPr>
          <w:rFonts w:hint="eastAsia"/>
        </w:rPr>
        <w:t xml:space="preserve">spatially </w:t>
      </w:r>
      <w:r w:rsidRPr="00F074B8">
        <w:t xml:space="preserve">multiplexed over the same time–frequency </w:t>
      </w:r>
      <w:r>
        <w:rPr>
          <w:rFonts w:hint="eastAsia"/>
        </w:rPr>
        <w:t>resource</w:t>
      </w:r>
      <w:r w:rsidRPr="00F074B8">
        <w:t xml:space="preserve"> by associating each PDCCH with a different </w:t>
      </w:r>
      <w:r>
        <w:rPr>
          <w:rFonts w:hint="eastAsia"/>
        </w:rPr>
        <w:t xml:space="preserve">antenna </w:t>
      </w:r>
      <w:r w:rsidRPr="00F074B8">
        <w:t>port, enabling resource sharing and improved resource efficiency.</w:t>
      </w:r>
    </w:p>
    <w:p w14:paraId="3412D058" w14:textId="3F14B929" w:rsidR="00F074B8" w:rsidRPr="009536B7" w:rsidRDefault="00F074B8" w:rsidP="00EE3662">
      <w:pPr>
        <w:rPr>
          <w:b/>
          <w:bCs/>
          <w:lang w:val="en-US"/>
        </w:rPr>
      </w:pPr>
      <w:r w:rsidRPr="009536B7">
        <w:rPr>
          <w:rFonts w:hint="eastAsia"/>
          <w:b/>
          <w:bCs/>
          <w:lang w:val="en-US"/>
        </w:rPr>
        <w:t xml:space="preserve">Proposal </w:t>
      </w:r>
      <w:r w:rsidR="00AC42FB">
        <w:rPr>
          <w:rFonts w:hint="eastAsia"/>
          <w:b/>
          <w:bCs/>
          <w:lang w:val="en-US"/>
        </w:rPr>
        <w:t>6</w:t>
      </w:r>
      <w:r w:rsidRPr="009536B7">
        <w:rPr>
          <w:rFonts w:hint="eastAsia"/>
          <w:b/>
          <w:bCs/>
          <w:lang w:val="en-US"/>
        </w:rPr>
        <w:t xml:space="preserve">: </w:t>
      </w:r>
      <w:r w:rsidR="009536B7" w:rsidRPr="009536B7">
        <w:rPr>
          <w:b/>
          <w:bCs/>
        </w:rPr>
        <w:t xml:space="preserve">Study </w:t>
      </w:r>
      <w:r w:rsidR="00AC42FB">
        <w:rPr>
          <w:rFonts w:hint="eastAsia"/>
          <w:b/>
          <w:bCs/>
        </w:rPr>
        <w:t>increasing the number of orthogonal PDCCH DM-RS antenna ports for 6GR.</w:t>
      </w:r>
    </w:p>
    <w:p w14:paraId="47E4C504" w14:textId="77777777" w:rsidR="00F074B8" w:rsidRDefault="00F074B8" w:rsidP="00EE3662">
      <w:pPr>
        <w:rPr>
          <w:lang w:val="en-US"/>
        </w:rPr>
      </w:pPr>
    </w:p>
    <w:p w14:paraId="222141E3" w14:textId="1FB33E0A" w:rsidR="00AC42FB" w:rsidRDefault="002A223B" w:rsidP="00EE3662">
      <w:pPr>
        <w:rPr>
          <w:lang w:val="en-US"/>
        </w:rPr>
      </w:pPr>
      <w:r>
        <w:rPr>
          <w:rFonts w:hint="eastAsia"/>
          <w:lang w:val="en-US"/>
        </w:rPr>
        <w:t>Time- and frequency-domain mapping of the PDCCH DM-RS is another factor that impacts the PDCCH link performance.</w:t>
      </w:r>
      <w:r w:rsidRPr="002A223B">
        <w:t xml:space="preserve"> </w:t>
      </w:r>
      <w:r>
        <w:rPr>
          <w:rFonts w:hint="eastAsia"/>
        </w:rPr>
        <w:t>F</w:t>
      </w:r>
      <w:r w:rsidRPr="002A223B">
        <w:t xml:space="preserve">or example, </w:t>
      </w:r>
      <w:r>
        <w:rPr>
          <w:rFonts w:hint="eastAsia"/>
        </w:rPr>
        <w:t>it should be studied</w:t>
      </w:r>
      <w:r w:rsidRPr="002A223B">
        <w:t xml:space="preserve"> whether to place DM-RS in all control symbols (as in NR), or to allow DM-RS only on selected symbols. In addition, the need of wideband DM-RS can also be considered, since it may provide improved channel estimation accuracy in some scenarios, while increasing overhead and design constraints. These design choices should be considered together in terms of channel estimation performance and resulting PDCCH BLER.</w:t>
      </w:r>
    </w:p>
    <w:p w14:paraId="1C0B1714" w14:textId="135844C0" w:rsidR="00AC42FB" w:rsidRPr="002A223B" w:rsidRDefault="002A223B" w:rsidP="00EE3662">
      <w:pPr>
        <w:rPr>
          <w:b/>
          <w:bCs/>
          <w:lang w:val="en-US"/>
        </w:rPr>
      </w:pPr>
      <w:r w:rsidRPr="002A223B">
        <w:rPr>
          <w:b/>
          <w:bCs/>
        </w:rPr>
        <w:t xml:space="preserve">Proposal </w:t>
      </w:r>
      <w:r>
        <w:rPr>
          <w:rFonts w:hint="eastAsia"/>
          <w:b/>
          <w:bCs/>
        </w:rPr>
        <w:t>7</w:t>
      </w:r>
      <w:r w:rsidRPr="002A223B">
        <w:rPr>
          <w:b/>
          <w:bCs/>
        </w:rPr>
        <w:t xml:space="preserve">: </w:t>
      </w:r>
      <w:r w:rsidRPr="002A223B">
        <w:rPr>
          <w:rFonts w:hint="eastAsia"/>
          <w:b/>
          <w:bCs/>
        </w:rPr>
        <w:t>For 6GR, s</w:t>
      </w:r>
      <w:r w:rsidRPr="002A223B">
        <w:rPr>
          <w:b/>
          <w:bCs/>
        </w:rPr>
        <w:t xml:space="preserve">tudy the </w:t>
      </w:r>
      <w:r w:rsidRPr="002A223B">
        <w:rPr>
          <w:rFonts w:hint="eastAsia"/>
          <w:b/>
          <w:bCs/>
        </w:rPr>
        <w:t xml:space="preserve">time domain mapping (incl. </w:t>
      </w:r>
      <w:r w:rsidRPr="002A223B">
        <w:rPr>
          <w:b/>
          <w:bCs/>
        </w:rPr>
        <w:t>symbol location</w:t>
      </w:r>
      <w:r w:rsidRPr="002A223B">
        <w:rPr>
          <w:rFonts w:hint="eastAsia"/>
          <w:b/>
          <w:bCs/>
        </w:rPr>
        <w:t>)</w:t>
      </w:r>
      <w:r w:rsidRPr="002A223B">
        <w:rPr>
          <w:b/>
          <w:bCs/>
        </w:rPr>
        <w:t xml:space="preserve"> and </w:t>
      </w:r>
      <w:r w:rsidRPr="002A223B">
        <w:rPr>
          <w:rFonts w:hint="eastAsia"/>
          <w:b/>
          <w:bCs/>
        </w:rPr>
        <w:t xml:space="preserve">the frequency domain mapping (incl. </w:t>
      </w:r>
      <w:r w:rsidRPr="002A223B">
        <w:rPr>
          <w:b/>
          <w:bCs/>
        </w:rPr>
        <w:t>need for wideband DM-RS</w:t>
      </w:r>
      <w:r w:rsidRPr="002A223B">
        <w:rPr>
          <w:rFonts w:hint="eastAsia"/>
          <w:b/>
          <w:bCs/>
        </w:rPr>
        <w:t>) of the PDCCH DM-RS</w:t>
      </w:r>
      <w:r w:rsidRPr="002A223B">
        <w:rPr>
          <w:b/>
          <w:bCs/>
        </w:rPr>
        <w:t xml:space="preserve">, considering both </w:t>
      </w:r>
      <w:r w:rsidRPr="002A223B">
        <w:rPr>
          <w:rFonts w:hint="eastAsia"/>
          <w:b/>
          <w:bCs/>
        </w:rPr>
        <w:t>PDCCH detection</w:t>
      </w:r>
      <w:r w:rsidRPr="002A223B">
        <w:rPr>
          <w:b/>
          <w:bCs/>
        </w:rPr>
        <w:t xml:space="preserve"> performance and specification design aspects.</w:t>
      </w:r>
    </w:p>
    <w:p w14:paraId="18FF2FFB" w14:textId="77777777" w:rsidR="00720C51" w:rsidRDefault="00720C51" w:rsidP="00CE492F">
      <w:pPr>
        <w:rPr>
          <w:highlight w:val="yellow"/>
          <w:lang w:val="en-US"/>
        </w:rPr>
      </w:pPr>
    </w:p>
    <w:p w14:paraId="0B78DAC7" w14:textId="4784825B" w:rsidR="00720C51" w:rsidRDefault="00720C51" w:rsidP="00720C51">
      <w:r w:rsidRPr="00720C51">
        <w:rPr>
          <w:lang w:val="en-US"/>
        </w:rPr>
        <w:t xml:space="preserve">For modulation, it is reasonable to keep a simple design for </w:t>
      </w:r>
      <w:r w:rsidR="0084346D">
        <w:rPr>
          <w:rFonts w:hint="eastAsia"/>
          <w:lang w:val="en-US"/>
        </w:rPr>
        <w:t xml:space="preserve">baseline </w:t>
      </w:r>
      <w:r w:rsidRPr="00720C51">
        <w:rPr>
          <w:lang w:val="en-US"/>
        </w:rPr>
        <w:t>PDCCH</w:t>
      </w:r>
      <w:r w:rsidR="0084346D">
        <w:rPr>
          <w:rFonts w:hint="eastAsia"/>
          <w:lang w:val="en-US"/>
        </w:rPr>
        <w:t xml:space="preserve"> transmission</w:t>
      </w:r>
      <w:r w:rsidRPr="00720C51">
        <w:rPr>
          <w:lang w:val="en-US"/>
        </w:rPr>
        <w:t>, and QPSK-only modulation can be retained for 6GR PDCCH transmission</w:t>
      </w:r>
      <w:r>
        <w:rPr>
          <w:rFonts w:hint="eastAsia"/>
        </w:rPr>
        <w:t>.</w:t>
      </w:r>
      <w:r w:rsidR="0084346D" w:rsidRPr="0084346D">
        <w:t xml:space="preserve"> However, when a two-stage DCI structure is considered, the modulation design may be differentiated between stages. In particular, the first-stage DCI can follow a robust QPSK-only transmission to ensure reliable detection with low blind decoding burden, </w:t>
      </w:r>
      <w:r w:rsidR="00FB5EF9" w:rsidRPr="00FB5EF9">
        <w:t>while the use of higher-order modulation could potentially be considered for the second-stage DCI depending on link adaptation and overall control channel design</w:t>
      </w:r>
      <w:r w:rsidR="00FB5EF9">
        <w:rPr>
          <w:rFonts w:hint="eastAsia"/>
        </w:rPr>
        <w:t xml:space="preserve">. </w:t>
      </w:r>
      <w:r w:rsidR="0084346D">
        <w:rPr>
          <w:rFonts w:hint="eastAsia"/>
        </w:rPr>
        <w:t>S</w:t>
      </w:r>
      <w:r w:rsidR="0084346D" w:rsidRPr="0084346D">
        <w:t xml:space="preserve">uch discussion </w:t>
      </w:r>
      <w:r w:rsidR="00FB5EF9">
        <w:rPr>
          <w:rFonts w:hint="eastAsia"/>
        </w:rPr>
        <w:t>may</w:t>
      </w:r>
      <w:r w:rsidR="0084346D" w:rsidRPr="0084346D">
        <w:t xml:space="preserve"> also </w:t>
      </w:r>
      <w:r w:rsidR="00FB5EF9">
        <w:rPr>
          <w:rFonts w:hint="eastAsia"/>
        </w:rPr>
        <w:t xml:space="preserve">need to </w:t>
      </w:r>
      <w:r w:rsidR="0084346D" w:rsidRPr="0084346D">
        <w:t xml:space="preserve">take into account the ongoing discussion </w:t>
      </w:r>
      <w:r w:rsidR="00C63053">
        <w:rPr>
          <w:rFonts w:hint="eastAsia"/>
        </w:rPr>
        <w:t>in 6GR channel coding and modulation agenda items</w:t>
      </w:r>
      <w:r w:rsidR="0084346D" w:rsidRPr="0084346D">
        <w:t>.</w:t>
      </w:r>
    </w:p>
    <w:p w14:paraId="678E9654" w14:textId="00DA64BB" w:rsidR="00720C51" w:rsidRPr="00720C51" w:rsidRDefault="00720C51" w:rsidP="00720C51">
      <w:pPr>
        <w:rPr>
          <w:lang w:val="en-US"/>
        </w:rPr>
      </w:pPr>
      <w:r w:rsidRPr="00720C51">
        <w:rPr>
          <w:rFonts w:hint="eastAsia"/>
          <w:b/>
          <w:bCs/>
          <w:lang w:val="en-US"/>
        </w:rPr>
        <w:t>Proposal 8: S</w:t>
      </w:r>
      <w:r w:rsidRPr="00720C51">
        <w:rPr>
          <w:b/>
          <w:bCs/>
          <w:lang w:val="en-US"/>
        </w:rPr>
        <w:t>u</w:t>
      </w:r>
      <w:r w:rsidRPr="00720C51">
        <w:rPr>
          <w:rFonts w:hint="eastAsia"/>
          <w:b/>
          <w:bCs/>
          <w:lang w:val="en-US"/>
        </w:rPr>
        <w:t>pport QPSK</w:t>
      </w:r>
      <w:r>
        <w:rPr>
          <w:rFonts w:hint="eastAsia"/>
          <w:b/>
          <w:bCs/>
          <w:lang w:val="en-US"/>
        </w:rPr>
        <w:t>-</w:t>
      </w:r>
      <w:r w:rsidRPr="00720C51">
        <w:rPr>
          <w:rFonts w:hint="eastAsia"/>
          <w:b/>
          <w:bCs/>
          <w:lang w:val="en-US"/>
        </w:rPr>
        <w:t xml:space="preserve">only </w:t>
      </w:r>
      <w:r>
        <w:rPr>
          <w:rFonts w:hint="eastAsia"/>
          <w:b/>
          <w:bCs/>
          <w:lang w:val="en-US"/>
        </w:rPr>
        <w:t xml:space="preserve">modulation </w:t>
      </w:r>
      <w:r w:rsidRPr="00720C51">
        <w:rPr>
          <w:rFonts w:hint="eastAsia"/>
          <w:b/>
          <w:bCs/>
          <w:lang w:val="en-US"/>
        </w:rPr>
        <w:t>for 6GR PDCCH.</w:t>
      </w:r>
      <w:r w:rsidR="0084346D" w:rsidRPr="0084346D">
        <w:t xml:space="preserve"> </w:t>
      </w:r>
      <w:r w:rsidR="0084346D" w:rsidRPr="0084346D">
        <w:rPr>
          <w:b/>
          <w:bCs/>
        </w:rPr>
        <w:t xml:space="preserve">For two-stage DCI, </w:t>
      </w:r>
      <w:r w:rsidR="007D7BA6">
        <w:rPr>
          <w:rFonts w:hint="eastAsia"/>
          <w:b/>
          <w:bCs/>
        </w:rPr>
        <w:t>consider</w:t>
      </w:r>
      <w:r w:rsidR="0084346D" w:rsidRPr="0084346D">
        <w:rPr>
          <w:b/>
          <w:bCs/>
        </w:rPr>
        <w:t xml:space="preserve"> QPSK-only modulation at least to the first-stage DCI as the baseline</w:t>
      </w:r>
      <w:r w:rsidR="0084346D">
        <w:rPr>
          <w:rFonts w:hint="eastAsia"/>
          <w:b/>
          <w:bCs/>
        </w:rPr>
        <w:t>.</w:t>
      </w:r>
    </w:p>
    <w:p w14:paraId="750D71DE" w14:textId="77777777" w:rsidR="00EE3662" w:rsidRDefault="00EE3662" w:rsidP="00CE492F">
      <w:pPr>
        <w:rPr>
          <w:b/>
          <w:highlight w:val="cyan"/>
          <w:u w:val="single"/>
        </w:rPr>
      </w:pPr>
    </w:p>
    <w:p w14:paraId="67216803" w14:textId="648B1FEB" w:rsidR="00EE3662" w:rsidRDefault="00EE3662" w:rsidP="00EE3662">
      <w:pPr>
        <w:pStyle w:val="1"/>
        <w:rPr>
          <w:lang w:eastAsia="ko-KR"/>
        </w:rPr>
      </w:pPr>
      <w:r>
        <w:rPr>
          <w:rFonts w:hint="eastAsia"/>
          <w:lang w:eastAsia="ko-KR"/>
        </w:rPr>
        <w:t>PDCCH monitoring</w:t>
      </w:r>
    </w:p>
    <w:p w14:paraId="7CDE89EA" w14:textId="0C48D14A" w:rsidR="00120990" w:rsidRDefault="007A7A6E" w:rsidP="00EE3662">
      <w:pPr>
        <w:rPr>
          <w:lang w:val="en-US"/>
        </w:rPr>
      </w:pPr>
      <w:r w:rsidRPr="003C41AA">
        <w:rPr>
          <w:lang w:val="en-US"/>
        </w:rPr>
        <w:t xml:space="preserve">UE power consumption and implementation complexity are heavily affected by the PDCCH monitoring </w:t>
      </w:r>
      <w:r w:rsidRPr="003C41AA">
        <w:rPr>
          <w:rFonts w:hint="eastAsia"/>
          <w:lang w:val="en-US"/>
        </w:rPr>
        <w:lastRenderedPageBreak/>
        <w:t>operation</w:t>
      </w:r>
      <w:r w:rsidRPr="003C41AA">
        <w:rPr>
          <w:lang w:val="en-US"/>
        </w:rPr>
        <w:t>, in particular the number of blind decoding attempts over monitoring occasions, PDCCH candidates, aggregation levels, and multiple DCI format</w:t>
      </w:r>
      <w:r w:rsidRPr="003C41AA">
        <w:rPr>
          <w:rFonts w:hint="eastAsia"/>
          <w:lang w:val="en-US"/>
        </w:rPr>
        <w:t xml:space="preserve"> sizes</w:t>
      </w:r>
      <w:r w:rsidRPr="003C41AA">
        <w:rPr>
          <w:lang w:val="en-US"/>
        </w:rPr>
        <w:t xml:space="preserve">. In NR, several mechanisms </w:t>
      </w:r>
      <w:r w:rsidRPr="003C41AA">
        <w:rPr>
          <w:rFonts w:hint="eastAsia"/>
          <w:lang w:val="en-US"/>
        </w:rPr>
        <w:t xml:space="preserve">to reduce the PDCCH monitoring attempts </w:t>
      </w:r>
      <w:r w:rsidRPr="003C41AA">
        <w:rPr>
          <w:lang w:val="en-US"/>
        </w:rPr>
        <w:t xml:space="preserve">were introduced over </w:t>
      </w:r>
      <w:r w:rsidRPr="003C41AA">
        <w:rPr>
          <w:rFonts w:hint="eastAsia"/>
          <w:lang w:val="en-US"/>
        </w:rPr>
        <w:t>multiple releases</w:t>
      </w:r>
      <w:r w:rsidRPr="003C41AA">
        <w:rPr>
          <w:lang w:val="en-US"/>
        </w:rPr>
        <w:t xml:space="preserve">. </w:t>
      </w:r>
      <w:r w:rsidR="003C41AA" w:rsidRPr="003C41AA">
        <w:t>However, these mechanisms are not well aligned under a single framework, and some of them have overlapping purposes and duplicated functionalities</w:t>
      </w:r>
      <w:r w:rsidR="003C41AA" w:rsidRPr="003C41AA">
        <w:rPr>
          <w:rFonts w:hint="eastAsia"/>
          <w:lang w:val="en-US"/>
        </w:rPr>
        <w:t>,</w:t>
      </w:r>
      <w:r w:rsidRPr="003C41AA">
        <w:rPr>
          <w:lang w:val="en-US"/>
        </w:rPr>
        <w:t xml:space="preserve"> </w:t>
      </w:r>
      <w:r w:rsidR="003C41AA" w:rsidRPr="003C41AA">
        <w:rPr>
          <w:rFonts w:hint="eastAsia"/>
          <w:lang w:val="en-US"/>
        </w:rPr>
        <w:t>which should be avoided for 6GR.</w:t>
      </w:r>
      <w:r w:rsidRPr="003C41AA">
        <w:rPr>
          <w:lang w:val="en-US"/>
        </w:rPr>
        <w:t xml:space="preserve"> </w:t>
      </w:r>
      <w:r w:rsidR="003C41AA" w:rsidRPr="003C41AA">
        <w:rPr>
          <w:rFonts w:hint="eastAsia"/>
          <w:lang w:val="en-US"/>
        </w:rPr>
        <w:t xml:space="preserve">Therefore, </w:t>
      </w:r>
      <w:r w:rsidRPr="003C41AA">
        <w:rPr>
          <w:lang w:val="en-US"/>
        </w:rPr>
        <w:t xml:space="preserve">it is desirable to consider a unified </w:t>
      </w:r>
      <w:r w:rsidR="004E012E">
        <w:rPr>
          <w:rFonts w:hint="eastAsia"/>
          <w:lang w:val="en-US"/>
        </w:rPr>
        <w:t xml:space="preserve">PDCCH </w:t>
      </w:r>
      <w:r w:rsidRPr="003C41AA">
        <w:rPr>
          <w:lang w:val="en-US"/>
        </w:rPr>
        <w:t>monitoring framework to reduce complexity and improve practical applicability</w:t>
      </w:r>
      <w:r w:rsidR="003C41AA" w:rsidRPr="003C41AA">
        <w:rPr>
          <w:rFonts w:hint="eastAsia"/>
          <w:lang w:val="en-US"/>
        </w:rPr>
        <w:t>.</w:t>
      </w:r>
    </w:p>
    <w:p w14:paraId="27B2C8C3" w14:textId="14C888BF" w:rsidR="005B560F" w:rsidRPr="003C41AA" w:rsidRDefault="005B560F" w:rsidP="005B560F">
      <w:pPr>
        <w:rPr>
          <w:b/>
          <w:bCs/>
        </w:rPr>
      </w:pPr>
      <w:r w:rsidRPr="003C41AA">
        <w:rPr>
          <w:b/>
          <w:bCs/>
        </w:rPr>
        <w:t xml:space="preserve">Proposal </w:t>
      </w:r>
      <w:r w:rsidRPr="003C41AA">
        <w:rPr>
          <w:rFonts w:hint="eastAsia"/>
          <w:b/>
          <w:bCs/>
        </w:rPr>
        <w:t>9</w:t>
      </w:r>
      <w:r w:rsidRPr="003C41AA">
        <w:rPr>
          <w:b/>
          <w:bCs/>
        </w:rPr>
        <w:t xml:space="preserve">: Study a unified PDCCH monitoring </w:t>
      </w:r>
      <w:r>
        <w:rPr>
          <w:rFonts w:hint="eastAsia"/>
          <w:b/>
          <w:bCs/>
        </w:rPr>
        <w:t>operation/adaptation</w:t>
      </w:r>
      <w:r w:rsidRPr="003C41AA">
        <w:rPr>
          <w:b/>
          <w:bCs/>
        </w:rPr>
        <w:t xml:space="preserve"> framework</w:t>
      </w:r>
      <w:r>
        <w:rPr>
          <w:rFonts w:hint="eastAsia"/>
          <w:b/>
          <w:bCs/>
        </w:rPr>
        <w:t xml:space="preserve"> for 6GR</w:t>
      </w:r>
      <w:r w:rsidRPr="003C41AA">
        <w:rPr>
          <w:rFonts w:hint="eastAsia"/>
          <w:b/>
          <w:bCs/>
        </w:rPr>
        <w:t xml:space="preserve">, </w:t>
      </w:r>
      <w:r w:rsidRPr="003C41AA">
        <w:rPr>
          <w:b/>
          <w:bCs/>
          <w:lang w:val="en-US"/>
        </w:rPr>
        <w:t xml:space="preserve">rather than </w:t>
      </w:r>
      <w:r w:rsidRPr="003C41AA">
        <w:rPr>
          <w:rFonts w:hint="eastAsia"/>
          <w:b/>
          <w:bCs/>
          <w:lang w:val="en-US"/>
        </w:rPr>
        <w:t>introducing</w:t>
      </w:r>
      <w:r w:rsidRPr="003C41AA">
        <w:rPr>
          <w:b/>
          <w:bCs/>
          <w:lang w:val="en-US"/>
        </w:rPr>
        <w:t xml:space="preserve"> multiple independent mechanisms with overlapping purposes.</w:t>
      </w:r>
    </w:p>
    <w:p w14:paraId="43E44834" w14:textId="77777777" w:rsidR="005B560F" w:rsidRPr="005B560F" w:rsidRDefault="005B560F" w:rsidP="00EE3662"/>
    <w:p w14:paraId="7CA2C4B0" w14:textId="2B4F98E5" w:rsidR="004E012E" w:rsidRDefault="004E012E" w:rsidP="00EE3662">
      <w:r w:rsidRPr="004E012E">
        <w:t xml:space="preserve">PDCCH monitoring complexity reduction can be broadly categorized into two directions. The first direction is to </w:t>
      </w:r>
      <w:r w:rsidR="00C76650">
        <w:rPr>
          <w:rFonts w:hint="eastAsia"/>
        </w:rPr>
        <w:t>reduce the number of PDCCH blind decoding attempts</w:t>
      </w:r>
      <w:r w:rsidR="00120990">
        <w:rPr>
          <w:rFonts w:hint="eastAsia"/>
        </w:rPr>
        <w:t xml:space="preserve"> per monitoring occasion</w:t>
      </w:r>
      <w:r w:rsidRPr="004E012E">
        <w:t xml:space="preserve">, </w:t>
      </w:r>
      <w:r w:rsidR="00C76650">
        <w:rPr>
          <w:rFonts w:hint="eastAsia"/>
        </w:rPr>
        <w:t>including</w:t>
      </w:r>
      <w:r w:rsidRPr="004E012E">
        <w:t xml:space="preserve"> DCI format/size design and the use of a two-stage DCI structure. The second direction is to </w:t>
      </w:r>
      <w:r w:rsidR="00C76650">
        <w:rPr>
          <w:rFonts w:hint="eastAsia"/>
        </w:rPr>
        <w:t>adapt the PDCCH monitoring behaviour in the time domain</w:t>
      </w:r>
      <w:r w:rsidRPr="004E012E">
        <w:t xml:space="preserve">, including DRX/DTX-related </w:t>
      </w:r>
      <w:proofErr w:type="spellStart"/>
      <w:r w:rsidRPr="004E012E">
        <w:t>behavior</w:t>
      </w:r>
      <w:proofErr w:type="spellEnd"/>
      <w:r w:rsidRPr="004E012E">
        <w:t xml:space="preserve"> as well as other PDCCH monitoring adaptation mechanisms.</w:t>
      </w:r>
    </w:p>
    <w:p w14:paraId="13E8039E" w14:textId="46498157" w:rsidR="00120990" w:rsidRPr="00C76650" w:rsidRDefault="00C76650" w:rsidP="00120990">
      <w:r>
        <w:rPr>
          <w:rFonts w:hint="eastAsia"/>
        </w:rPr>
        <w:t>For</w:t>
      </w:r>
      <w:r w:rsidR="004E012E" w:rsidRPr="00C76650">
        <w:rPr>
          <w:rFonts w:hint="eastAsia"/>
        </w:rPr>
        <w:t xml:space="preserve"> </w:t>
      </w:r>
      <w:r w:rsidRPr="00C76650">
        <w:rPr>
          <w:rFonts w:hint="eastAsia"/>
        </w:rPr>
        <w:t>the</w:t>
      </w:r>
      <w:r w:rsidR="004E012E" w:rsidRPr="00C76650">
        <w:rPr>
          <w:rFonts w:hint="eastAsia"/>
        </w:rPr>
        <w:t xml:space="preserve"> first direction,</w:t>
      </w:r>
      <w:r w:rsidRPr="00C76650">
        <w:rPr>
          <w:rFonts w:hint="eastAsia"/>
        </w:rPr>
        <w:t xml:space="preserve"> </w:t>
      </w:r>
      <w:r w:rsidRPr="00C76650">
        <w:rPr>
          <w:rFonts w:hint="eastAsia"/>
          <w:lang w:val="en-US"/>
        </w:rPr>
        <w:t>o</w:t>
      </w:r>
      <w:r w:rsidR="00120990" w:rsidRPr="00C76650">
        <w:rPr>
          <w:lang w:val="en-US"/>
        </w:rPr>
        <w:t xml:space="preserve">ne direct way is to limit the number of DCI payload sizes and/or DCI formats that the UE needs to </w:t>
      </w:r>
      <w:r w:rsidRPr="00C76650">
        <w:rPr>
          <w:rFonts w:hint="eastAsia"/>
          <w:lang w:val="en-US"/>
        </w:rPr>
        <w:t>blind detect</w:t>
      </w:r>
      <w:r w:rsidR="00120990" w:rsidRPr="00C76650">
        <w:rPr>
          <w:lang w:val="en-US"/>
        </w:rPr>
        <w:t xml:space="preserve"> within the configured search space. Such simplification can also improve forward compatibility, since the introduction of new DCI features in later releases should not force the UE to increase the blind decoding burden significantly.</w:t>
      </w:r>
    </w:p>
    <w:p w14:paraId="121CC482" w14:textId="0D142D42" w:rsidR="00120990" w:rsidRPr="00C76650" w:rsidRDefault="00120990" w:rsidP="00120990">
      <w:pPr>
        <w:rPr>
          <w:lang w:val="en-US"/>
        </w:rPr>
      </w:pPr>
      <w:r w:rsidRPr="00C76650">
        <w:rPr>
          <w:lang w:val="en-US"/>
        </w:rPr>
        <w:t xml:space="preserve">In addition, a structured solution such as two-stage DCI can be considered for 6GR. In this approach, a compact first-stage control message provides the key information needed to determine how and where the second-stage control message is transmitted. This can reduce the need for blind decoding of multiple second-stage candidates and also reduce the need to maintain complex DCI size alignment rules. </w:t>
      </w:r>
      <w:r w:rsidR="00E312BE" w:rsidRPr="00E312BE">
        <w:t>Beyond blind decoding reduction, the two-stage structure can also support more balanced and scalable control channel utilization when scheduling becomes more complex (e.g., SCMC operation or MRSS).</w:t>
      </w:r>
    </w:p>
    <w:p w14:paraId="4E6B9093" w14:textId="4F7FC94F" w:rsidR="00120990" w:rsidRPr="00C76650" w:rsidRDefault="00C76650" w:rsidP="00120990">
      <w:pPr>
        <w:rPr>
          <w:b/>
          <w:bCs/>
          <w:lang w:val="en-US"/>
        </w:rPr>
      </w:pPr>
      <w:r w:rsidRPr="00C76650">
        <w:rPr>
          <w:b/>
          <w:bCs/>
          <w:lang w:val="en-US"/>
        </w:rPr>
        <w:t xml:space="preserve">Proposal </w:t>
      </w:r>
      <w:r w:rsidR="005B560F">
        <w:rPr>
          <w:rFonts w:hint="eastAsia"/>
          <w:b/>
          <w:bCs/>
          <w:lang w:val="en-US"/>
        </w:rPr>
        <w:t>10</w:t>
      </w:r>
      <w:r w:rsidRPr="00C76650">
        <w:rPr>
          <w:b/>
          <w:bCs/>
          <w:lang w:val="en-US"/>
        </w:rPr>
        <w:t xml:space="preserve">: Study two-stage DCI </w:t>
      </w:r>
      <w:r w:rsidRPr="00C76650">
        <w:rPr>
          <w:rFonts w:hint="eastAsia"/>
          <w:b/>
          <w:bCs/>
          <w:lang w:val="en-US"/>
        </w:rPr>
        <w:t>as a method to</w:t>
      </w:r>
      <w:r w:rsidRPr="00C76650">
        <w:rPr>
          <w:b/>
          <w:bCs/>
          <w:lang w:val="en-US"/>
        </w:rPr>
        <w:t xml:space="preserve"> reduce PDCCH blind decoding complexity and efficiently support diverse 6GR operation scenarios</w:t>
      </w:r>
      <w:r w:rsidR="00120990" w:rsidRPr="00C76650">
        <w:rPr>
          <w:b/>
          <w:bCs/>
          <w:lang w:val="en-US"/>
        </w:rPr>
        <w:t>.</w:t>
      </w:r>
    </w:p>
    <w:p w14:paraId="267A3988" w14:textId="77777777" w:rsidR="004E012E" w:rsidRPr="005B560F" w:rsidRDefault="004E012E" w:rsidP="00EE3662">
      <w:pPr>
        <w:rPr>
          <w:lang w:val="en-US"/>
        </w:rPr>
      </w:pPr>
    </w:p>
    <w:p w14:paraId="0FD392DD" w14:textId="59D9B131" w:rsidR="005B560F" w:rsidRPr="005B560F" w:rsidRDefault="005B560F" w:rsidP="00EE3662">
      <w:r w:rsidRPr="005B560F">
        <w:t xml:space="preserve">As the second direction, </w:t>
      </w:r>
      <w:r w:rsidR="00E312BE">
        <w:rPr>
          <w:rFonts w:hint="eastAsia"/>
        </w:rPr>
        <w:t xml:space="preserve">the </w:t>
      </w:r>
      <w:r w:rsidRPr="005B560F">
        <w:t xml:space="preserve">PDCCH monitoring complexity can be reduced by adapting the monitoring </w:t>
      </w:r>
      <w:proofErr w:type="spellStart"/>
      <w:r w:rsidRPr="005B560F">
        <w:t>behavior</w:t>
      </w:r>
      <w:proofErr w:type="spellEnd"/>
      <w:r w:rsidRPr="005B560F">
        <w:t xml:space="preserve"> in the time domain, especially by reducing unnecessary monitoring occasions when there is no meaningful scheduling activity. This requires flexible monitoring adaptation mechanisms that allow the network to adjust when the UE should monitor PDCCH, while enabling the UE to avoid wasted processing under sparse or periodic traffic patterns.</w:t>
      </w:r>
      <w:r w:rsidR="0084346D" w:rsidRPr="0084346D">
        <w:t xml:space="preserve"> This direction can </w:t>
      </w:r>
      <w:r w:rsidR="0084346D">
        <w:rPr>
          <w:rFonts w:hint="eastAsia"/>
        </w:rPr>
        <w:t>correspond to</w:t>
      </w:r>
      <w:r w:rsidR="0084346D" w:rsidRPr="0084346D">
        <w:t xml:space="preserve"> various mechanisms such as PDCCH skipping, search space switching, on-demand PDCCH monitoring</w:t>
      </w:r>
      <w:r w:rsidR="0084346D">
        <w:rPr>
          <w:rFonts w:hint="eastAsia"/>
        </w:rPr>
        <w:t>, etc.</w:t>
      </w:r>
    </w:p>
    <w:p w14:paraId="1AD7A9BD" w14:textId="3E584CBD" w:rsidR="004E012E" w:rsidRDefault="005B560F" w:rsidP="00EE3662">
      <w:r w:rsidRPr="005B560F">
        <w:t xml:space="preserve">A practical challenge is that </w:t>
      </w:r>
      <w:r>
        <w:rPr>
          <w:rFonts w:hint="eastAsia"/>
        </w:rPr>
        <w:t xml:space="preserve">the </w:t>
      </w:r>
      <w:r w:rsidRPr="005B560F">
        <w:t>PDCCH monitoring adaptation involves, and is thus highly related to, the DTX/DRX framework</w:t>
      </w:r>
      <w:r w:rsidR="009C2856" w:rsidRPr="009C2856">
        <w:t xml:space="preserve">, where at least UE </w:t>
      </w:r>
      <w:r w:rsidR="009C2856">
        <w:rPr>
          <w:rFonts w:hint="eastAsia"/>
        </w:rPr>
        <w:t>C-</w:t>
      </w:r>
      <w:r w:rsidR="009C2856" w:rsidRPr="009C2856">
        <w:t xml:space="preserve">DRX </w:t>
      </w:r>
      <w:r>
        <w:rPr>
          <w:rFonts w:hint="eastAsia"/>
        </w:rPr>
        <w:t xml:space="preserve">operation </w:t>
      </w:r>
      <w:r w:rsidR="009C2856" w:rsidRPr="009C2856">
        <w:t xml:space="preserve">is </w:t>
      </w:r>
      <w:r w:rsidR="009C2856">
        <w:rPr>
          <w:rFonts w:hint="eastAsia"/>
        </w:rPr>
        <w:t xml:space="preserve">expected to be </w:t>
      </w:r>
      <w:r w:rsidR="009C2856" w:rsidRPr="009C2856">
        <w:t xml:space="preserve">handled </w:t>
      </w:r>
      <w:r>
        <w:rPr>
          <w:rFonts w:hint="eastAsia"/>
        </w:rPr>
        <w:t xml:space="preserve">mainly </w:t>
      </w:r>
      <w:r w:rsidR="009C2856" w:rsidRPr="009C2856">
        <w:t xml:space="preserve">in RAN2. If the baseline DRX </w:t>
      </w:r>
      <w:proofErr w:type="spellStart"/>
      <w:r w:rsidR="009C2856" w:rsidRPr="009C2856">
        <w:t>behavior</w:t>
      </w:r>
      <w:proofErr w:type="spellEnd"/>
      <w:r w:rsidR="009C2856" w:rsidRPr="009C2856">
        <w:t xml:space="preserve"> is finalized first and </w:t>
      </w:r>
      <w:r w:rsidR="004E012E">
        <w:rPr>
          <w:rFonts w:hint="eastAsia"/>
        </w:rPr>
        <w:t xml:space="preserve">the </w:t>
      </w:r>
      <w:r w:rsidR="009C2856" w:rsidRPr="009C2856">
        <w:t xml:space="preserve">PDCCH monitoring adaptation is discussed later in RAN1, </w:t>
      </w:r>
      <w:r w:rsidR="004E012E">
        <w:rPr>
          <w:rFonts w:hint="eastAsia"/>
        </w:rPr>
        <w:t>t</w:t>
      </w:r>
      <w:r w:rsidR="004E012E" w:rsidRPr="004E012E">
        <w:t>here is a risk of a sub-optimal overall design due to limited coordination between related procedures across layers. Therefore, it is desirable to consider joint design between RAN1 and RAN2 for D</w:t>
      </w:r>
      <w:r w:rsidR="004E012E">
        <w:rPr>
          <w:rFonts w:hint="eastAsia"/>
        </w:rPr>
        <w:t>T</w:t>
      </w:r>
      <w:r w:rsidR="004E012E" w:rsidRPr="004E012E">
        <w:t>X/D</w:t>
      </w:r>
      <w:r w:rsidR="004E012E">
        <w:rPr>
          <w:rFonts w:hint="eastAsia"/>
        </w:rPr>
        <w:t>R</w:t>
      </w:r>
      <w:r w:rsidR="004E012E" w:rsidRPr="004E012E">
        <w:t xml:space="preserve">X </w:t>
      </w:r>
      <w:r w:rsidR="004E012E">
        <w:rPr>
          <w:rFonts w:hint="eastAsia"/>
        </w:rPr>
        <w:t xml:space="preserve">mechanism taking into </w:t>
      </w:r>
      <w:r w:rsidR="004E012E">
        <w:t>account</w:t>
      </w:r>
      <w:r w:rsidR="004E012E">
        <w:rPr>
          <w:rFonts w:hint="eastAsia"/>
        </w:rPr>
        <w:t xml:space="preserve"> the </w:t>
      </w:r>
      <w:r w:rsidR="004E012E" w:rsidRPr="004E012E">
        <w:t>PDCCH monitoring adaptation</w:t>
      </w:r>
      <w:r w:rsidR="004E012E">
        <w:rPr>
          <w:rFonts w:hint="eastAsia"/>
        </w:rPr>
        <w:t>, cell DTX/DRX</w:t>
      </w:r>
      <w:r>
        <w:rPr>
          <w:rFonts w:hint="eastAsia"/>
        </w:rPr>
        <w:t xml:space="preserve"> and UE DTX/DRX aspects</w:t>
      </w:r>
      <w:r w:rsidR="004E012E">
        <w:rPr>
          <w:rFonts w:hint="eastAsia"/>
        </w:rPr>
        <w:t>, idle mode operation</w:t>
      </w:r>
      <w:r>
        <w:rPr>
          <w:rFonts w:hint="eastAsia"/>
        </w:rPr>
        <w:t>,</w:t>
      </w:r>
      <w:r w:rsidR="004E012E">
        <w:rPr>
          <w:rFonts w:hint="eastAsia"/>
        </w:rPr>
        <w:t xml:space="preserve"> etc.</w:t>
      </w:r>
    </w:p>
    <w:p w14:paraId="66B96714" w14:textId="71CE3E5B" w:rsidR="00EE3662" w:rsidRPr="00120990" w:rsidRDefault="004E012E" w:rsidP="00CE492F">
      <w:pPr>
        <w:rPr>
          <w:b/>
          <w:bCs/>
        </w:rPr>
      </w:pPr>
      <w:r w:rsidRPr="004E012E">
        <w:rPr>
          <w:rFonts w:hint="eastAsia"/>
          <w:b/>
          <w:bCs/>
        </w:rPr>
        <w:t>Proposal 1</w:t>
      </w:r>
      <w:r w:rsidR="005B560F">
        <w:rPr>
          <w:rFonts w:hint="eastAsia"/>
          <w:b/>
          <w:bCs/>
        </w:rPr>
        <w:t>1</w:t>
      </w:r>
      <w:r w:rsidRPr="004E012E">
        <w:rPr>
          <w:rFonts w:hint="eastAsia"/>
          <w:b/>
          <w:bCs/>
        </w:rPr>
        <w:t>: C</w:t>
      </w:r>
      <w:r w:rsidRPr="004E012E">
        <w:rPr>
          <w:b/>
          <w:bCs/>
        </w:rPr>
        <w:t xml:space="preserve">onsider </w:t>
      </w:r>
      <w:r w:rsidR="00FB5EF9" w:rsidRPr="00FB5EF9">
        <w:rPr>
          <w:b/>
          <w:bCs/>
        </w:rPr>
        <w:t xml:space="preserve">pursuing </w:t>
      </w:r>
      <w:r w:rsidRPr="004E012E">
        <w:rPr>
          <w:b/>
          <w:bCs/>
        </w:rPr>
        <w:t>joint design between RAN1 and RAN2 for D</w:t>
      </w:r>
      <w:r w:rsidRPr="004E012E">
        <w:rPr>
          <w:rFonts w:hint="eastAsia"/>
          <w:b/>
          <w:bCs/>
        </w:rPr>
        <w:t>T</w:t>
      </w:r>
      <w:r w:rsidRPr="004E012E">
        <w:rPr>
          <w:b/>
          <w:bCs/>
        </w:rPr>
        <w:t>X/D</w:t>
      </w:r>
      <w:r w:rsidRPr="004E012E">
        <w:rPr>
          <w:rFonts w:hint="eastAsia"/>
          <w:b/>
          <w:bCs/>
        </w:rPr>
        <w:t>R</w:t>
      </w:r>
      <w:r w:rsidRPr="004E012E">
        <w:rPr>
          <w:b/>
          <w:bCs/>
        </w:rPr>
        <w:t xml:space="preserve">X </w:t>
      </w:r>
      <w:r w:rsidRPr="004E012E">
        <w:rPr>
          <w:rFonts w:hint="eastAsia"/>
          <w:b/>
          <w:bCs/>
        </w:rPr>
        <w:t xml:space="preserve">mechanism taking into </w:t>
      </w:r>
      <w:r w:rsidRPr="004E012E">
        <w:rPr>
          <w:b/>
          <w:bCs/>
        </w:rPr>
        <w:t>account</w:t>
      </w:r>
      <w:r w:rsidRPr="004E012E">
        <w:rPr>
          <w:rFonts w:hint="eastAsia"/>
          <w:b/>
          <w:bCs/>
        </w:rPr>
        <w:t xml:space="preserve"> the </w:t>
      </w:r>
      <w:r w:rsidRPr="004E012E">
        <w:rPr>
          <w:b/>
          <w:bCs/>
        </w:rPr>
        <w:t>PDCCH monitoring adaptation</w:t>
      </w:r>
      <w:r w:rsidRPr="004E012E">
        <w:rPr>
          <w:rFonts w:hint="eastAsia"/>
          <w:b/>
          <w:bCs/>
        </w:rPr>
        <w:t>, cell DTX/DRX</w:t>
      </w:r>
      <w:r w:rsidR="005B560F">
        <w:rPr>
          <w:rFonts w:hint="eastAsia"/>
          <w:b/>
          <w:bCs/>
        </w:rPr>
        <w:t xml:space="preserve"> and UE DTX/DRX aspects</w:t>
      </w:r>
      <w:r w:rsidRPr="004E012E">
        <w:rPr>
          <w:rFonts w:hint="eastAsia"/>
          <w:b/>
          <w:bCs/>
        </w:rPr>
        <w:t>, idle mode operation</w:t>
      </w:r>
      <w:r w:rsidR="005B560F">
        <w:rPr>
          <w:rFonts w:hint="eastAsia"/>
          <w:b/>
          <w:bCs/>
        </w:rPr>
        <w:t>,</w:t>
      </w:r>
      <w:r w:rsidRPr="004E012E">
        <w:rPr>
          <w:rFonts w:hint="eastAsia"/>
          <w:b/>
          <w:bCs/>
        </w:rPr>
        <w:t xml:space="preserve"> etc.</w:t>
      </w:r>
    </w:p>
    <w:p w14:paraId="306E1A64" w14:textId="77777777" w:rsidR="00EE3662" w:rsidRDefault="00EE3662" w:rsidP="00CE492F">
      <w:pPr>
        <w:rPr>
          <w:b/>
          <w:highlight w:val="cyan"/>
          <w:u w:val="single"/>
        </w:rPr>
      </w:pPr>
    </w:p>
    <w:p w14:paraId="1C6D28EF" w14:textId="1AF9C021" w:rsidR="00EE3662" w:rsidRDefault="00AF6350" w:rsidP="00EE3662">
      <w:pPr>
        <w:pStyle w:val="1"/>
        <w:rPr>
          <w:lang w:eastAsia="ko-KR"/>
        </w:rPr>
      </w:pPr>
      <w:r>
        <w:rPr>
          <w:rFonts w:hint="eastAsia"/>
          <w:lang w:eastAsia="ko-KR"/>
        </w:rPr>
        <w:lastRenderedPageBreak/>
        <w:t>PDCCH</w:t>
      </w:r>
      <w:r w:rsidR="00EE3662">
        <w:rPr>
          <w:rFonts w:hint="eastAsia"/>
          <w:lang w:eastAsia="ko-KR"/>
        </w:rPr>
        <w:t xml:space="preserve"> during initial access</w:t>
      </w:r>
    </w:p>
    <w:p w14:paraId="60E8EB2D" w14:textId="629305B9" w:rsidR="000A5C6B" w:rsidRDefault="00C32651" w:rsidP="00C32651">
      <w:r w:rsidRPr="00C32651">
        <w:t xml:space="preserve">PDCCH monitoring is also required for initial access and random access procedures, as well as during idle mode. It is important to discuss how UE </w:t>
      </w:r>
      <w:r>
        <w:rPr>
          <w:rFonts w:hint="eastAsia"/>
        </w:rPr>
        <w:t xml:space="preserve">acquires and </w:t>
      </w:r>
      <w:r w:rsidRPr="00C32651">
        <w:t xml:space="preserve">monitors the relevant PDCCH resources for SI acquisition, paging monitoring, and Msg2/4 reception following SSB reception. </w:t>
      </w:r>
      <w:r w:rsidR="000A5C6B" w:rsidRPr="000A5C6B">
        <w:t>Various factors, such as PDCCH performance and coverage, initial access and random access latency, UE and system bandwidth constraints, and network/UE energy saving, should be considered in designing the initial PDCCH resources as well as their configuration</w:t>
      </w:r>
      <w:r w:rsidR="000A5C6B">
        <w:rPr>
          <w:rFonts w:hint="eastAsia"/>
        </w:rPr>
        <w:t>.</w:t>
      </w:r>
    </w:p>
    <w:p w14:paraId="3F55EC84" w14:textId="7AF45358" w:rsidR="00E16361" w:rsidRDefault="00E16361" w:rsidP="00C32651">
      <w:r w:rsidRPr="00E16361">
        <w:t xml:space="preserve">In NR, CORESETs are </w:t>
      </w:r>
      <w:r>
        <w:rPr>
          <w:rFonts w:hint="eastAsia"/>
        </w:rPr>
        <w:t>provided</w:t>
      </w:r>
      <w:r w:rsidRPr="00E16361">
        <w:t xml:space="preserve"> in stages along the access procedure</w:t>
      </w:r>
      <w:r>
        <w:rPr>
          <w:rFonts w:hint="eastAsia"/>
        </w:rPr>
        <w:t>.</w:t>
      </w:r>
      <w:r w:rsidRPr="00E16361">
        <w:t xml:space="preserve"> CORESET 0 is derived from PBCH (via MIB) for initial PDCCH monitoring, additional common CORESETs may be configured via SI, and UE-specific CORESETs can be configured via dedicated RRC after connection establishment.</w:t>
      </w:r>
    </w:p>
    <w:p w14:paraId="01403667" w14:textId="77777777" w:rsidR="00E16361" w:rsidRPr="00E16361" w:rsidRDefault="00E16361" w:rsidP="00E16361">
      <w:pPr>
        <w:rPr>
          <w:lang w:val="en-US"/>
        </w:rPr>
      </w:pPr>
      <w:r w:rsidRPr="00E16361">
        <w:rPr>
          <w:lang w:val="en-US"/>
        </w:rPr>
        <w:t>For 6GR, such a staged configuration approach can be a reasonable baseline. However, the detailed flow may differ depending on which physical channel the minimum SI (e.g., SIB1 or any pre-SIB1 system information, e.g., SIB0 or an OD-SIB1 configuration) is delivered via. For example, the minimum SI may be delivered via PDCCH/PDSCH (as in NR) or via a PBCH-like channel separated from SSB.</w:t>
      </w:r>
    </w:p>
    <w:p w14:paraId="1773CD09" w14:textId="7EAF7974" w:rsidR="00E16361" w:rsidRPr="00E16361" w:rsidRDefault="00E16361" w:rsidP="00E16361">
      <w:pPr>
        <w:rPr>
          <w:lang w:val="en-US"/>
        </w:rPr>
      </w:pPr>
      <w:r w:rsidRPr="00E16361">
        <w:rPr>
          <w:lang w:val="en-US"/>
        </w:rPr>
        <w:t xml:space="preserve">For the former case, the configuration information for the initial CORESET and search space set for minimum SI acquisition can be included in the MIB similar to NR, while refining </w:t>
      </w:r>
      <w:r w:rsidR="002D26D6">
        <w:rPr>
          <w:rFonts w:hint="eastAsia"/>
          <w:lang w:val="en-US"/>
        </w:rPr>
        <w:t xml:space="preserve">some </w:t>
      </w:r>
      <w:r w:rsidRPr="00E16361">
        <w:rPr>
          <w:lang w:val="en-US"/>
        </w:rPr>
        <w:t xml:space="preserve">parameters to reflect 6GR requirements. In particular, considering the minimum </w:t>
      </w:r>
      <w:r w:rsidR="00FC2D2B">
        <w:rPr>
          <w:rFonts w:hint="eastAsia"/>
          <w:lang w:val="en-US"/>
        </w:rPr>
        <w:t>channel and UE</w:t>
      </w:r>
      <w:r w:rsidRPr="00E16361">
        <w:rPr>
          <w:lang w:val="en-US"/>
        </w:rPr>
        <w:t xml:space="preserve"> bandwidth</w:t>
      </w:r>
      <w:r w:rsidR="00FC2D2B">
        <w:rPr>
          <w:rFonts w:hint="eastAsia"/>
          <w:lang w:val="en-US"/>
        </w:rPr>
        <w:t>s</w:t>
      </w:r>
      <w:r w:rsidRPr="00E16361">
        <w:rPr>
          <w:lang w:val="en-US"/>
        </w:rPr>
        <w:t xml:space="preserve"> of 6GR (e.g., 3–5 MHz), it is important to ensure that the initial CORESET design provides sufficient robustness under narrowband operation. For example, while limiting the initial CORESET bandwidth to 24 RBs, its duration can be extended to at least 6 OFDM symbols. Other parameters such as RB offset and slot offset relative to SSB, and detailed time-domain mapping can be further studied once the SSB structure and resource mapping are further defined.</w:t>
      </w:r>
    </w:p>
    <w:p w14:paraId="19525753" w14:textId="3C643F65" w:rsidR="00C32651" w:rsidRPr="0053324C" w:rsidRDefault="00FC2D2B" w:rsidP="00C32651">
      <w:pPr>
        <w:rPr>
          <w:b/>
          <w:bCs/>
          <w:lang w:val="en-US"/>
        </w:rPr>
      </w:pPr>
      <w:r w:rsidRPr="0053324C">
        <w:rPr>
          <w:rFonts w:hint="eastAsia"/>
          <w:b/>
          <w:bCs/>
        </w:rPr>
        <w:t xml:space="preserve">Proposal 12: </w:t>
      </w:r>
      <w:r w:rsidRPr="0053324C">
        <w:rPr>
          <w:b/>
          <w:bCs/>
        </w:rPr>
        <w:t xml:space="preserve">For 6GR, take the </w:t>
      </w:r>
      <w:r w:rsidRPr="0053324C">
        <w:rPr>
          <w:rFonts w:hint="eastAsia"/>
          <w:b/>
          <w:bCs/>
        </w:rPr>
        <w:t>NR</w:t>
      </w:r>
      <w:r w:rsidRPr="0053324C">
        <w:rPr>
          <w:b/>
          <w:bCs/>
        </w:rPr>
        <w:t xml:space="preserve"> CORESET </w:t>
      </w:r>
      <w:r w:rsidRPr="0053324C">
        <w:rPr>
          <w:rFonts w:hint="eastAsia"/>
          <w:b/>
          <w:bCs/>
        </w:rPr>
        <w:t xml:space="preserve">provisioning flow </w:t>
      </w:r>
      <w:r w:rsidRPr="0053324C">
        <w:rPr>
          <w:b/>
          <w:bCs/>
        </w:rPr>
        <w:t xml:space="preserve">as the baseline, and study any necessary </w:t>
      </w:r>
      <w:r w:rsidRPr="0053324C">
        <w:rPr>
          <w:rFonts w:hint="eastAsia"/>
          <w:b/>
          <w:bCs/>
        </w:rPr>
        <w:t>change</w:t>
      </w:r>
      <w:r w:rsidR="0053324C" w:rsidRPr="0053324C">
        <w:rPr>
          <w:rFonts w:hint="eastAsia"/>
          <w:b/>
          <w:bCs/>
        </w:rPr>
        <w:t>s</w:t>
      </w:r>
      <w:r w:rsidRPr="0053324C">
        <w:rPr>
          <w:rFonts w:hint="eastAsia"/>
          <w:b/>
          <w:bCs/>
        </w:rPr>
        <w:t xml:space="preserve"> or </w:t>
      </w:r>
      <w:r w:rsidRPr="0053324C">
        <w:rPr>
          <w:b/>
          <w:bCs/>
        </w:rPr>
        <w:t>refinements considering the physical channel used for minimum SI delivery, bandwidth constraints, and initial PDCCH coverage requirements</w:t>
      </w:r>
      <w:r w:rsidRPr="0053324C">
        <w:rPr>
          <w:rFonts w:hint="eastAsia"/>
          <w:b/>
          <w:bCs/>
        </w:rPr>
        <w:t>.</w:t>
      </w:r>
    </w:p>
    <w:p w14:paraId="1473A5B3" w14:textId="77777777" w:rsidR="00CA1DA0" w:rsidRDefault="00CA1DA0" w:rsidP="00CE492F">
      <w:pPr>
        <w:rPr>
          <w:bCs/>
        </w:rPr>
      </w:pPr>
    </w:p>
    <w:p w14:paraId="4070FC0B" w14:textId="0A88BA80" w:rsidR="00F613CD" w:rsidRPr="009D67ED" w:rsidRDefault="00EC5F3B" w:rsidP="00C02370">
      <w:pPr>
        <w:pStyle w:val="1"/>
      </w:pPr>
      <w:r>
        <w:t>Conclusion</w:t>
      </w:r>
    </w:p>
    <w:p w14:paraId="0D1C3E5B" w14:textId="38EC9B8D" w:rsidR="00DA6BEA" w:rsidRPr="00FB5EF9" w:rsidRDefault="00E05234" w:rsidP="00CA1DA0">
      <w:pPr>
        <w:rPr>
          <w:b/>
        </w:rPr>
      </w:pPr>
      <w:r w:rsidRPr="00FB5EF9">
        <w:t xml:space="preserve">In this contribution, we present our views on </w:t>
      </w:r>
      <w:r w:rsidR="00FB5EF9" w:rsidRPr="00FB5EF9">
        <w:t>downlink</w:t>
      </w:r>
      <w:r w:rsidR="00FB5EF9" w:rsidRPr="00FB5EF9">
        <w:rPr>
          <w:rFonts w:hint="eastAsia"/>
        </w:rPr>
        <w:t xml:space="preserve"> control channel design for 6GR. Based on the discussions, the </w:t>
      </w:r>
      <w:r w:rsidR="00FB5EF9" w:rsidRPr="00FB5EF9">
        <w:t>following</w:t>
      </w:r>
      <w:r w:rsidR="00FB5EF9" w:rsidRPr="00FB5EF9">
        <w:rPr>
          <w:rFonts w:hint="eastAsia"/>
        </w:rPr>
        <w:t xml:space="preserve"> proposals are drawn:</w:t>
      </w:r>
    </w:p>
    <w:p w14:paraId="7F11A69E" w14:textId="0ACDBAA6" w:rsidR="00702836" w:rsidRPr="00763995" w:rsidRDefault="00702836" w:rsidP="00702836">
      <w:pPr>
        <w:rPr>
          <w:b/>
          <w:bCs/>
          <w:lang w:val="en-US"/>
        </w:rPr>
      </w:pPr>
      <w:r w:rsidRPr="00763995">
        <w:rPr>
          <w:b/>
          <w:bCs/>
          <w:lang w:val="en-US"/>
        </w:rPr>
        <w:t xml:space="preserve">Proposal 1: </w:t>
      </w:r>
      <w:r>
        <w:rPr>
          <w:rFonts w:hint="eastAsia"/>
          <w:b/>
          <w:bCs/>
          <w:lang w:val="en-US"/>
        </w:rPr>
        <w:t>For 6GR PDCCH resource configuration,</w:t>
      </w:r>
      <w:r w:rsidRPr="00763995">
        <w:rPr>
          <w:b/>
          <w:bCs/>
          <w:lang w:val="en-US"/>
        </w:rPr>
        <w:t xml:space="preserve"> take the NR framework as the baseline</w:t>
      </w:r>
      <w:r>
        <w:rPr>
          <w:rFonts w:hint="eastAsia"/>
          <w:b/>
          <w:bCs/>
          <w:lang w:val="en-US"/>
        </w:rPr>
        <w:t>,</w:t>
      </w:r>
      <w:r w:rsidRPr="00763995">
        <w:rPr>
          <w:b/>
          <w:bCs/>
          <w:lang w:val="en-US"/>
        </w:rPr>
        <w:t xml:space="preserve"> reusing CORESET properties and search space set properties as the starting point</w:t>
      </w:r>
      <w:r w:rsidR="00FB5EF9">
        <w:rPr>
          <w:rFonts w:hint="eastAsia"/>
          <w:b/>
          <w:bCs/>
          <w:lang w:val="en-US"/>
        </w:rPr>
        <w:t xml:space="preserve">, </w:t>
      </w:r>
      <w:r w:rsidR="00FB5EF9" w:rsidRPr="00E312BE">
        <w:rPr>
          <w:b/>
          <w:bCs/>
        </w:rPr>
        <w:t>while aiming for a streamlined Day-1 configuration framework that avoids excessive option fragmentation</w:t>
      </w:r>
      <w:r w:rsidRPr="00763995">
        <w:rPr>
          <w:b/>
          <w:bCs/>
          <w:lang w:val="en-US"/>
        </w:rPr>
        <w:t>.</w:t>
      </w:r>
    </w:p>
    <w:p w14:paraId="10BEC6FD" w14:textId="77777777" w:rsidR="00702836" w:rsidRPr="00763995" w:rsidRDefault="00702836" w:rsidP="00702836">
      <w:pPr>
        <w:rPr>
          <w:b/>
          <w:bCs/>
          <w:lang w:val="en-US"/>
        </w:rPr>
      </w:pPr>
      <w:r w:rsidRPr="00763995">
        <w:rPr>
          <w:b/>
          <w:bCs/>
          <w:lang w:val="en-US"/>
        </w:rPr>
        <w:t xml:space="preserve">Proposal 2: </w:t>
      </w:r>
      <w:r>
        <w:rPr>
          <w:rFonts w:hint="eastAsia"/>
          <w:b/>
          <w:bCs/>
          <w:lang w:val="en-US"/>
        </w:rPr>
        <w:t>For 6GR, at least f</w:t>
      </w:r>
      <w:r w:rsidRPr="000A4F52">
        <w:rPr>
          <w:rFonts w:hint="eastAsia"/>
          <w:b/>
          <w:bCs/>
          <w:lang w:val="en-US"/>
        </w:rPr>
        <w:t xml:space="preserve">or </w:t>
      </w:r>
      <w:r>
        <w:rPr>
          <w:rFonts w:hint="eastAsia"/>
          <w:b/>
          <w:bCs/>
          <w:lang w:val="en-US"/>
        </w:rPr>
        <w:t>CORESET with duration up to 3 symbols</w:t>
      </w:r>
      <w:r w:rsidRPr="000A4F52">
        <w:rPr>
          <w:rFonts w:hint="eastAsia"/>
          <w:b/>
          <w:bCs/>
          <w:lang w:val="en-US"/>
        </w:rPr>
        <w:t xml:space="preserve">, take </w:t>
      </w:r>
      <w:r w:rsidRPr="00763995">
        <w:rPr>
          <w:b/>
          <w:bCs/>
          <w:lang w:val="en-US"/>
        </w:rPr>
        <w:t xml:space="preserve">the NR CCE-to-REG mapping structure </w:t>
      </w:r>
      <w:r>
        <w:rPr>
          <w:rFonts w:hint="eastAsia"/>
          <w:b/>
          <w:bCs/>
          <w:lang w:val="en-US"/>
        </w:rPr>
        <w:t xml:space="preserve">and the CCE aggregation </w:t>
      </w:r>
      <w:r w:rsidRPr="00763995">
        <w:rPr>
          <w:b/>
          <w:bCs/>
          <w:lang w:val="en-US"/>
        </w:rPr>
        <w:t>as the baseline.</w:t>
      </w:r>
    </w:p>
    <w:p w14:paraId="2A2E9F06" w14:textId="77777777" w:rsidR="007861AD" w:rsidRDefault="007861AD" w:rsidP="007861AD">
      <w:pPr>
        <w:rPr>
          <w:b/>
          <w:bCs/>
        </w:rPr>
      </w:pPr>
      <w:r w:rsidRPr="002D4E7A">
        <w:rPr>
          <w:b/>
          <w:bCs/>
        </w:rPr>
        <w:t xml:space="preserve">Proposal 3: Study time-domain extension </w:t>
      </w:r>
      <w:r w:rsidRPr="002D4E7A">
        <w:rPr>
          <w:rFonts w:hint="eastAsia"/>
          <w:b/>
          <w:bCs/>
        </w:rPr>
        <w:t xml:space="preserve">of PDCCH resources </w:t>
      </w:r>
      <w:r w:rsidRPr="002D4E7A">
        <w:rPr>
          <w:b/>
          <w:bCs/>
        </w:rPr>
        <w:t>for improving PDCCH coverage</w:t>
      </w:r>
      <w:r w:rsidRPr="002D4E7A">
        <w:rPr>
          <w:rFonts w:hint="eastAsia"/>
          <w:b/>
          <w:bCs/>
        </w:rPr>
        <w:t xml:space="preserve"> in 6GR</w:t>
      </w:r>
      <w:r w:rsidRPr="002D4E7A">
        <w:rPr>
          <w:b/>
          <w:bCs/>
        </w:rPr>
        <w:t>, including</w:t>
      </w:r>
      <w:r w:rsidRPr="002D4E7A">
        <w:rPr>
          <w:rFonts w:hint="eastAsia"/>
          <w:b/>
          <w:bCs/>
        </w:rPr>
        <w:t>:</w:t>
      </w:r>
      <w:r w:rsidRPr="002D4E7A">
        <w:rPr>
          <w:b/>
          <w:bCs/>
        </w:rPr>
        <w:t xml:space="preserve"> </w:t>
      </w:r>
      <w:r w:rsidRPr="002D4E7A">
        <w:rPr>
          <w:rFonts w:hint="eastAsia"/>
          <w:b/>
          <w:bCs/>
        </w:rPr>
        <w:t xml:space="preserve">(1) PDCCH </w:t>
      </w:r>
      <w:r w:rsidRPr="002D4E7A">
        <w:rPr>
          <w:b/>
          <w:bCs/>
        </w:rPr>
        <w:t>rep</w:t>
      </w:r>
      <w:r w:rsidRPr="002D4E7A">
        <w:rPr>
          <w:rFonts w:hint="eastAsia"/>
          <w:b/>
          <w:bCs/>
        </w:rPr>
        <w:t xml:space="preserve">etition, and (2) </w:t>
      </w:r>
      <w:r w:rsidRPr="002D4E7A">
        <w:rPr>
          <w:b/>
          <w:bCs/>
        </w:rPr>
        <w:t>supporting a maximum CORESET duration larger than 3 symbols</w:t>
      </w:r>
      <w:r>
        <w:rPr>
          <w:rFonts w:hint="eastAsia"/>
          <w:b/>
          <w:bCs/>
        </w:rPr>
        <w:t>.</w:t>
      </w:r>
    </w:p>
    <w:p w14:paraId="599765DF" w14:textId="77777777" w:rsidR="007861AD" w:rsidRPr="002D4E7A" w:rsidRDefault="007861AD" w:rsidP="007861AD">
      <w:pPr>
        <w:rPr>
          <w:b/>
          <w:bCs/>
          <w:lang w:val="en-US"/>
        </w:rPr>
      </w:pPr>
      <w:r>
        <w:rPr>
          <w:rFonts w:hint="eastAsia"/>
          <w:b/>
          <w:bCs/>
        </w:rPr>
        <w:t xml:space="preserve">Proposal 4: </w:t>
      </w:r>
      <w:r w:rsidRPr="007861AD">
        <w:rPr>
          <w:b/>
          <w:bCs/>
        </w:rPr>
        <w:t>Study supporting a maximum 6GR CORESET duration of at least 6 OFDM symbols</w:t>
      </w:r>
      <w:r>
        <w:rPr>
          <w:rFonts w:hint="eastAsia"/>
          <w:b/>
          <w:bCs/>
        </w:rPr>
        <w:t>.</w:t>
      </w:r>
    </w:p>
    <w:p w14:paraId="6288F0B8" w14:textId="77777777" w:rsidR="007861AD" w:rsidRPr="00AE69E7" w:rsidRDefault="007861AD" w:rsidP="007861AD">
      <w:pPr>
        <w:rPr>
          <w:b/>
          <w:bCs/>
          <w:lang w:val="en-US"/>
        </w:rPr>
      </w:pPr>
      <w:r w:rsidRPr="00AE69E7">
        <w:rPr>
          <w:b/>
          <w:bCs/>
          <w:lang w:val="en-US"/>
        </w:rPr>
        <w:t xml:space="preserve">Proposal </w:t>
      </w:r>
      <w:r>
        <w:rPr>
          <w:rFonts w:hint="eastAsia"/>
          <w:b/>
          <w:bCs/>
          <w:lang w:val="en-US"/>
        </w:rPr>
        <w:t>5</w:t>
      </w:r>
      <w:r w:rsidRPr="00AE69E7">
        <w:rPr>
          <w:b/>
          <w:bCs/>
          <w:lang w:val="en-US"/>
        </w:rPr>
        <w:t>: Study the appropriate configuration granularity for QCL/beam assumptions for PDCCH monitoring (e.g., CORESET-level</w:t>
      </w:r>
      <w:r>
        <w:rPr>
          <w:rFonts w:hint="eastAsia"/>
          <w:b/>
          <w:bCs/>
          <w:lang w:val="en-US"/>
        </w:rPr>
        <w:t xml:space="preserve"> vs. </w:t>
      </w:r>
      <w:r w:rsidRPr="00AE69E7">
        <w:rPr>
          <w:b/>
          <w:bCs/>
          <w:lang w:val="en-US"/>
        </w:rPr>
        <w:t>search space set-level</w:t>
      </w:r>
      <w:r>
        <w:rPr>
          <w:rFonts w:hint="eastAsia"/>
          <w:b/>
          <w:bCs/>
          <w:lang w:val="en-US"/>
        </w:rPr>
        <w:t xml:space="preserve"> vs. antenna port-level</w:t>
      </w:r>
      <w:r w:rsidRPr="00AE69E7">
        <w:rPr>
          <w:b/>
          <w:bCs/>
          <w:lang w:val="en-US"/>
        </w:rPr>
        <w:t>).</w:t>
      </w:r>
    </w:p>
    <w:p w14:paraId="33AF0376" w14:textId="00E7F8C5" w:rsidR="00AC42FB" w:rsidRPr="009536B7" w:rsidRDefault="00AC42FB" w:rsidP="00AC42FB">
      <w:pPr>
        <w:rPr>
          <w:b/>
          <w:bCs/>
          <w:lang w:val="en-US"/>
        </w:rPr>
      </w:pPr>
      <w:r w:rsidRPr="009536B7">
        <w:rPr>
          <w:rFonts w:hint="eastAsia"/>
          <w:b/>
          <w:bCs/>
          <w:lang w:val="en-US"/>
        </w:rPr>
        <w:t xml:space="preserve">Proposal </w:t>
      </w:r>
      <w:r>
        <w:rPr>
          <w:rFonts w:hint="eastAsia"/>
          <w:b/>
          <w:bCs/>
          <w:lang w:val="en-US"/>
        </w:rPr>
        <w:t>6</w:t>
      </w:r>
      <w:r w:rsidRPr="009536B7">
        <w:rPr>
          <w:rFonts w:hint="eastAsia"/>
          <w:b/>
          <w:bCs/>
          <w:lang w:val="en-US"/>
        </w:rPr>
        <w:t xml:space="preserve">: </w:t>
      </w:r>
      <w:r w:rsidRPr="009536B7">
        <w:rPr>
          <w:b/>
          <w:bCs/>
        </w:rPr>
        <w:t xml:space="preserve">Study </w:t>
      </w:r>
      <w:r>
        <w:rPr>
          <w:rFonts w:hint="eastAsia"/>
          <w:b/>
          <w:bCs/>
        </w:rPr>
        <w:t>increasing the number of orthogonal PDCCH DM-RS antenna ports for 6GR.</w:t>
      </w:r>
    </w:p>
    <w:p w14:paraId="3208E53A" w14:textId="77777777" w:rsidR="00720C51" w:rsidRPr="002A223B" w:rsidRDefault="00720C51" w:rsidP="00720C51">
      <w:pPr>
        <w:rPr>
          <w:b/>
          <w:bCs/>
          <w:lang w:val="en-US"/>
        </w:rPr>
      </w:pPr>
      <w:r w:rsidRPr="002A223B">
        <w:rPr>
          <w:b/>
          <w:bCs/>
        </w:rPr>
        <w:lastRenderedPageBreak/>
        <w:t xml:space="preserve">Proposal </w:t>
      </w:r>
      <w:r>
        <w:rPr>
          <w:rFonts w:hint="eastAsia"/>
          <w:b/>
          <w:bCs/>
        </w:rPr>
        <w:t>7</w:t>
      </w:r>
      <w:r w:rsidRPr="002A223B">
        <w:rPr>
          <w:b/>
          <w:bCs/>
        </w:rPr>
        <w:t xml:space="preserve">: </w:t>
      </w:r>
      <w:r w:rsidRPr="002A223B">
        <w:rPr>
          <w:rFonts w:hint="eastAsia"/>
          <w:b/>
          <w:bCs/>
        </w:rPr>
        <w:t>For 6GR, s</w:t>
      </w:r>
      <w:r w:rsidRPr="002A223B">
        <w:rPr>
          <w:b/>
          <w:bCs/>
        </w:rPr>
        <w:t xml:space="preserve">tudy the </w:t>
      </w:r>
      <w:r w:rsidRPr="002A223B">
        <w:rPr>
          <w:rFonts w:hint="eastAsia"/>
          <w:b/>
          <w:bCs/>
        </w:rPr>
        <w:t xml:space="preserve">time domain mapping (incl. </w:t>
      </w:r>
      <w:r w:rsidRPr="002A223B">
        <w:rPr>
          <w:b/>
          <w:bCs/>
        </w:rPr>
        <w:t>symbol location</w:t>
      </w:r>
      <w:r w:rsidRPr="002A223B">
        <w:rPr>
          <w:rFonts w:hint="eastAsia"/>
          <w:b/>
          <w:bCs/>
        </w:rPr>
        <w:t>)</w:t>
      </w:r>
      <w:r w:rsidRPr="002A223B">
        <w:rPr>
          <w:b/>
          <w:bCs/>
        </w:rPr>
        <w:t xml:space="preserve"> and </w:t>
      </w:r>
      <w:r w:rsidRPr="002A223B">
        <w:rPr>
          <w:rFonts w:hint="eastAsia"/>
          <w:b/>
          <w:bCs/>
        </w:rPr>
        <w:t xml:space="preserve">the frequency domain mapping (incl. </w:t>
      </w:r>
      <w:r w:rsidRPr="002A223B">
        <w:rPr>
          <w:b/>
          <w:bCs/>
        </w:rPr>
        <w:t>need for wideband DM-RS</w:t>
      </w:r>
      <w:r w:rsidRPr="002A223B">
        <w:rPr>
          <w:rFonts w:hint="eastAsia"/>
          <w:b/>
          <w:bCs/>
        </w:rPr>
        <w:t>) of the PDCCH DM-RS</w:t>
      </w:r>
      <w:r w:rsidRPr="002A223B">
        <w:rPr>
          <w:b/>
          <w:bCs/>
        </w:rPr>
        <w:t xml:space="preserve">, considering both </w:t>
      </w:r>
      <w:r w:rsidRPr="002A223B">
        <w:rPr>
          <w:rFonts w:hint="eastAsia"/>
          <w:b/>
          <w:bCs/>
        </w:rPr>
        <w:t>PDCCH detection</w:t>
      </w:r>
      <w:r w:rsidRPr="002A223B">
        <w:rPr>
          <w:b/>
          <w:bCs/>
        </w:rPr>
        <w:t xml:space="preserve"> performance and specification design aspects.</w:t>
      </w:r>
    </w:p>
    <w:p w14:paraId="59B3E981" w14:textId="502B09C1" w:rsidR="00720C51" w:rsidRPr="00720C51" w:rsidRDefault="00720C51" w:rsidP="00720C51">
      <w:pPr>
        <w:rPr>
          <w:lang w:val="en-US"/>
        </w:rPr>
      </w:pPr>
      <w:r w:rsidRPr="00720C51">
        <w:rPr>
          <w:rFonts w:hint="eastAsia"/>
          <w:b/>
          <w:bCs/>
          <w:lang w:val="en-US"/>
        </w:rPr>
        <w:t>Proposal 8: S</w:t>
      </w:r>
      <w:r w:rsidRPr="00720C51">
        <w:rPr>
          <w:b/>
          <w:bCs/>
          <w:lang w:val="en-US"/>
        </w:rPr>
        <w:t>u</w:t>
      </w:r>
      <w:r w:rsidRPr="00720C51">
        <w:rPr>
          <w:rFonts w:hint="eastAsia"/>
          <w:b/>
          <w:bCs/>
          <w:lang w:val="en-US"/>
        </w:rPr>
        <w:t>pport QPSK</w:t>
      </w:r>
      <w:r>
        <w:rPr>
          <w:rFonts w:hint="eastAsia"/>
          <w:b/>
          <w:bCs/>
          <w:lang w:val="en-US"/>
        </w:rPr>
        <w:t>-</w:t>
      </w:r>
      <w:r w:rsidRPr="00720C51">
        <w:rPr>
          <w:rFonts w:hint="eastAsia"/>
          <w:b/>
          <w:bCs/>
          <w:lang w:val="en-US"/>
        </w:rPr>
        <w:t xml:space="preserve">only </w:t>
      </w:r>
      <w:r>
        <w:rPr>
          <w:rFonts w:hint="eastAsia"/>
          <w:b/>
          <w:bCs/>
          <w:lang w:val="en-US"/>
        </w:rPr>
        <w:t xml:space="preserve">modulation </w:t>
      </w:r>
      <w:r w:rsidRPr="00720C51">
        <w:rPr>
          <w:rFonts w:hint="eastAsia"/>
          <w:b/>
          <w:bCs/>
          <w:lang w:val="en-US"/>
        </w:rPr>
        <w:t>for 6GR PDCCH.</w:t>
      </w:r>
      <w:r w:rsidR="00FB5EF9" w:rsidRPr="0084346D">
        <w:t xml:space="preserve"> </w:t>
      </w:r>
      <w:r w:rsidR="00FB5EF9" w:rsidRPr="0084346D">
        <w:rPr>
          <w:b/>
          <w:bCs/>
        </w:rPr>
        <w:t xml:space="preserve">For two-stage DCI, </w:t>
      </w:r>
      <w:r w:rsidR="007D7BA6">
        <w:rPr>
          <w:rFonts w:hint="eastAsia"/>
          <w:b/>
          <w:bCs/>
        </w:rPr>
        <w:t>consider</w:t>
      </w:r>
      <w:r w:rsidR="00FB5EF9" w:rsidRPr="0084346D">
        <w:rPr>
          <w:b/>
          <w:bCs/>
        </w:rPr>
        <w:t xml:space="preserve"> QPSK-only modulation at least to the first-stage DCI as the baseline</w:t>
      </w:r>
      <w:r w:rsidR="00FB5EF9">
        <w:rPr>
          <w:rFonts w:hint="eastAsia"/>
          <w:b/>
          <w:bCs/>
        </w:rPr>
        <w:t>.</w:t>
      </w:r>
    </w:p>
    <w:p w14:paraId="451EA2F6" w14:textId="77777777" w:rsidR="005B560F" w:rsidRPr="003C41AA" w:rsidRDefault="005B560F" w:rsidP="005B560F">
      <w:pPr>
        <w:rPr>
          <w:b/>
          <w:bCs/>
        </w:rPr>
      </w:pPr>
      <w:r w:rsidRPr="003C41AA">
        <w:rPr>
          <w:b/>
          <w:bCs/>
        </w:rPr>
        <w:t xml:space="preserve">Proposal </w:t>
      </w:r>
      <w:r w:rsidRPr="003C41AA">
        <w:rPr>
          <w:rFonts w:hint="eastAsia"/>
          <w:b/>
          <w:bCs/>
        </w:rPr>
        <w:t>9</w:t>
      </w:r>
      <w:r w:rsidRPr="003C41AA">
        <w:rPr>
          <w:b/>
          <w:bCs/>
        </w:rPr>
        <w:t xml:space="preserve">: Study a unified PDCCH monitoring </w:t>
      </w:r>
      <w:r>
        <w:rPr>
          <w:rFonts w:hint="eastAsia"/>
          <w:b/>
          <w:bCs/>
        </w:rPr>
        <w:t>operation/adaptation</w:t>
      </w:r>
      <w:r w:rsidRPr="003C41AA">
        <w:rPr>
          <w:b/>
          <w:bCs/>
        </w:rPr>
        <w:t xml:space="preserve"> framework</w:t>
      </w:r>
      <w:r>
        <w:rPr>
          <w:rFonts w:hint="eastAsia"/>
          <w:b/>
          <w:bCs/>
        </w:rPr>
        <w:t xml:space="preserve"> for 6GR</w:t>
      </w:r>
      <w:r w:rsidRPr="003C41AA">
        <w:rPr>
          <w:rFonts w:hint="eastAsia"/>
          <w:b/>
          <w:bCs/>
        </w:rPr>
        <w:t xml:space="preserve">, </w:t>
      </w:r>
      <w:r w:rsidRPr="003C41AA">
        <w:rPr>
          <w:b/>
          <w:bCs/>
          <w:lang w:val="en-US"/>
        </w:rPr>
        <w:t xml:space="preserve">rather than </w:t>
      </w:r>
      <w:r w:rsidRPr="003C41AA">
        <w:rPr>
          <w:rFonts w:hint="eastAsia"/>
          <w:b/>
          <w:bCs/>
          <w:lang w:val="en-US"/>
        </w:rPr>
        <w:t>introducing</w:t>
      </w:r>
      <w:r w:rsidRPr="003C41AA">
        <w:rPr>
          <w:b/>
          <w:bCs/>
          <w:lang w:val="en-US"/>
        </w:rPr>
        <w:t xml:space="preserve"> multiple independent mechanisms with overlapping purposes.</w:t>
      </w:r>
    </w:p>
    <w:p w14:paraId="1D7415BF" w14:textId="77777777" w:rsidR="005B560F" w:rsidRPr="00C76650" w:rsidRDefault="005B560F" w:rsidP="005B560F">
      <w:pPr>
        <w:rPr>
          <w:b/>
          <w:bCs/>
          <w:lang w:val="en-US"/>
        </w:rPr>
      </w:pPr>
      <w:r w:rsidRPr="00C76650">
        <w:rPr>
          <w:b/>
          <w:bCs/>
          <w:lang w:val="en-US"/>
        </w:rPr>
        <w:t xml:space="preserve">Proposal </w:t>
      </w:r>
      <w:r>
        <w:rPr>
          <w:rFonts w:hint="eastAsia"/>
          <w:b/>
          <w:bCs/>
          <w:lang w:val="en-US"/>
        </w:rPr>
        <w:t>10</w:t>
      </w:r>
      <w:r w:rsidRPr="00C76650">
        <w:rPr>
          <w:b/>
          <w:bCs/>
          <w:lang w:val="en-US"/>
        </w:rPr>
        <w:t xml:space="preserve">: Study two-stage DCI </w:t>
      </w:r>
      <w:r w:rsidRPr="00C76650">
        <w:rPr>
          <w:rFonts w:hint="eastAsia"/>
          <w:b/>
          <w:bCs/>
          <w:lang w:val="en-US"/>
        </w:rPr>
        <w:t>as a method to</w:t>
      </w:r>
      <w:r w:rsidRPr="00C76650">
        <w:rPr>
          <w:b/>
          <w:bCs/>
          <w:lang w:val="en-US"/>
        </w:rPr>
        <w:t xml:space="preserve"> reduce PDCCH blind decoding complexity and efficiently support diverse 6GR operation scenarios.</w:t>
      </w:r>
    </w:p>
    <w:p w14:paraId="1EBC6083" w14:textId="26C3BA8D" w:rsidR="005B560F" w:rsidRPr="00120990" w:rsidRDefault="005B560F" w:rsidP="005B560F">
      <w:pPr>
        <w:rPr>
          <w:b/>
          <w:bCs/>
        </w:rPr>
      </w:pPr>
      <w:r w:rsidRPr="004E012E">
        <w:rPr>
          <w:rFonts w:hint="eastAsia"/>
          <w:b/>
          <w:bCs/>
        </w:rPr>
        <w:t>Proposal 1</w:t>
      </w:r>
      <w:r>
        <w:rPr>
          <w:rFonts w:hint="eastAsia"/>
          <w:b/>
          <w:bCs/>
        </w:rPr>
        <w:t>1</w:t>
      </w:r>
      <w:r w:rsidRPr="004E012E">
        <w:rPr>
          <w:rFonts w:hint="eastAsia"/>
          <w:b/>
          <w:bCs/>
        </w:rPr>
        <w:t>: C</w:t>
      </w:r>
      <w:r w:rsidRPr="004E012E">
        <w:rPr>
          <w:b/>
          <w:bCs/>
        </w:rPr>
        <w:t xml:space="preserve">onsider </w:t>
      </w:r>
      <w:r w:rsidR="00FB5EF9" w:rsidRPr="00FB5EF9">
        <w:rPr>
          <w:b/>
          <w:bCs/>
        </w:rPr>
        <w:t xml:space="preserve">pursuing </w:t>
      </w:r>
      <w:r w:rsidRPr="004E012E">
        <w:rPr>
          <w:b/>
          <w:bCs/>
        </w:rPr>
        <w:t>joint design between RAN1 and RAN2 for D</w:t>
      </w:r>
      <w:r w:rsidRPr="004E012E">
        <w:rPr>
          <w:rFonts w:hint="eastAsia"/>
          <w:b/>
          <w:bCs/>
        </w:rPr>
        <w:t>T</w:t>
      </w:r>
      <w:r w:rsidRPr="004E012E">
        <w:rPr>
          <w:b/>
          <w:bCs/>
        </w:rPr>
        <w:t>X/D</w:t>
      </w:r>
      <w:r w:rsidRPr="004E012E">
        <w:rPr>
          <w:rFonts w:hint="eastAsia"/>
          <w:b/>
          <w:bCs/>
        </w:rPr>
        <w:t>R</w:t>
      </w:r>
      <w:r w:rsidRPr="004E012E">
        <w:rPr>
          <w:b/>
          <w:bCs/>
        </w:rPr>
        <w:t xml:space="preserve">X </w:t>
      </w:r>
      <w:r w:rsidRPr="004E012E">
        <w:rPr>
          <w:rFonts w:hint="eastAsia"/>
          <w:b/>
          <w:bCs/>
        </w:rPr>
        <w:t xml:space="preserve">mechanism taking into </w:t>
      </w:r>
      <w:r w:rsidRPr="004E012E">
        <w:rPr>
          <w:b/>
          <w:bCs/>
        </w:rPr>
        <w:t>account</w:t>
      </w:r>
      <w:r w:rsidRPr="004E012E">
        <w:rPr>
          <w:rFonts w:hint="eastAsia"/>
          <w:b/>
          <w:bCs/>
        </w:rPr>
        <w:t xml:space="preserve"> the </w:t>
      </w:r>
      <w:r w:rsidRPr="004E012E">
        <w:rPr>
          <w:b/>
          <w:bCs/>
        </w:rPr>
        <w:t>PDCCH monitoring adaptation</w:t>
      </w:r>
      <w:r w:rsidRPr="004E012E">
        <w:rPr>
          <w:rFonts w:hint="eastAsia"/>
          <w:b/>
          <w:bCs/>
        </w:rPr>
        <w:t>, cell DTX/DRX</w:t>
      </w:r>
      <w:r>
        <w:rPr>
          <w:rFonts w:hint="eastAsia"/>
          <w:b/>
          <w:bCs/>
        </w:rPr>
        <w:t xml:space="preserve"> and UE DTX/DRX aspects</w:t>
      </w:r>
      <w:r w:rsidRPr="004E012E">
        <w:rPr>
          <w:rFonts w:hint="eastAsia"/>
          <w:b/>
          <w:bCs/>
        </w:rPr>
        <w:t>, idle mode operation</w:t>
      </w:r>
      <w:r>
        <w:rPr>
          <w:rFonts w:hint="eastAsia"/>
          <w:b/>
          <w:bCs/>
        </w:rPr>
        <w:t>,</w:t>
      </w:r>
      <w:r w:rsidRPr="004E012E">
        <w:rPr>
          <w:rFonts w:hint="eastAsia"/>
          <w:b/>
          <w:bCs/>
        </w:rPr>
        <w:t xml:space="preserve"> etc.</w:t>
      </w:r>
    </w:p>
    <w:p w14:paraId="28DE6F48" w14:textId="7B805713" w:rsidR="0053324C" w:rsidRPr="0053324C" w:rsidRDefault="0053324C" w:rsidP="0053324C">
      <w:pPr>
        <w:rPr>
          <w:b/>
          <w:bCs/>
          <w:lang w:val="en-US"/>
        </w:rPr>
      </w:pPr>
      <w:r w:rsidRPr="0053324C">
        <w:rPr>
          <w:rFonts w:hint="eastAsia"/>
          <w:b/>
          <w:bCs/>
        </w:rPr>
        <w:t xml:space="preserve">Proposal 12: </w:t>
      </w:r>
      <w:r w:rsidRPr="0053324C">
        <w:rPr>
          <w:b/>
          <w:bCs/>
        </w:rPr>
        <w:t xml:space="preserve">For 6GR, take the </w:t>
      </w:r>
      <w:r w:rsidRPr="0053324C">
        <w:rPr>
          <w:rFonts w:hint="eastAsia"/>
          <w:b/>
          <w:bCs/>
        </w:rPr>
        <w:t>NR</w:t>
      </w:r>
      <w:r w:rsidRPr="0053324C">
        <w:rPr>
          <w:b/>
          <w:bCs/>
        </w:rPr>
        <w:t xml:space="preserve"> CORESET </w:t>
      </w:r>
      <w:r w:rsidRPr="0053324C">
        <w:rPr>
          <w:rFonts w:hint="eastAsia"/>
          <w:b/>
          <w:bCs/>
        </w:rPr>
        <w:t xml:space="preserve">provisioning flow </w:t>
      </w:r>
      <w:r w:rsidRPr="0053324C">
        <w:rPr>
          <w:b/>
          <w:bCs/>
        </w:rPr>
        <w:t xml:space="preserve">as the baseline, and study any necessary </w:t>
      </w:r>
      <w:r w:rsidRPr="0053324C">
        <w:rPr>
          <w:rFonts w:hint="eastAsia"/>
          <w:b/>
          <w:bCs/>
        </w:rPr>
        <w:t xml:space="preserve">changes or </w:t>
      </w:r>
      <w:r w:rsidRPr="0053324C">
        <w:rPr>
          <w:b/>
          <w:bCs/>
        </w:rPr>
        <w:t>refinements considering the physical channel used for minimum SI delivery, bandwidth constraints, and initial PDCCH coverage requirements</w:t>
      </w:r>
      <w:r w:rsidRPr="0053324C">
        <w:rPr>
          <w:rFonts w:hint="eastAsia"/>
          <w:b/>
          <w:bCs/>
        </w:rPr>
        <w:t>.</w:t>
      </w:r>
    </w:p>
    <w:p w14:paraId="021647A6" w14:textId="77777777" w:rsidR="00E07A56" w:rsidRPr="0053324C" w:rsidRDefault="00E07A56" w:rsidP="008B68EC">
      <w:pPr>
        <w:rPr>
          <w:lang w:val="en-US"/>
        </w:rPr>
      </w:pPr>
    </w:p>
    <w:p w14:paraId="2A04AB50" w14:textId="77777777" w:rsidR="00491D04" w:rsidRPr="00A75F19" w:rsidRDefault="00491D04" w:rsidP="00C02370">
      <w:pPr>
        <w:pStyle w:val="1"/>
      </w:pPr>
      <w:r w:rsidRPr="00A75F19">
        <w:t>References</w:t>
      </w:r>
    </w:p>
    <w:p w14:paraId="17498AFB" w14:textId="77777777" w:rsidR="005C26B7" w:rsidRPr="00590515" w:rsidRDefault="005C26B7" w:rsidP="005C26B7">
      <w:pPr>
        <w:widowControl/>
        <w:numPr>
          <w:ilvl w:val="0"/>
          <w:numId w:val="5"/>
        </w:numPr>
        <w:autoSpaceDE/>
        <w:autoSpaceDN/>
        <w:spacing w:line="288" w:lineRule="auto"/>
        <w:contextualSpacing/>
        <w:rPr>
          <w:lang w:eastAsia="zh-CN"/>
        </w:rPr>
      </w:pPr>
      <w:bookmarkStart w:id="5" w:name="_Ref189567658"/>
      <w:r>
        <w:rPr>
          <w:rFonts w:hint="eastAsia"/>
        </w:rPr>
        <w:t xml:space="preserve">R1-2600406, </w:t>
      </w:r>
      <w:r>
        <w:t>“</w:t>
      </w:r>
      <w:r w:rsidRPr="00590515">
        <w:rPr>
          <w:rFonts w:hint="eastAsia"/>
        </w:rPr>
        <w:t xml:space="preserve">Draft Agenda </w:t>
      </w:r>
      <w:r>
        <w:rPr>
          <w:rFonts w:hint="eastAsia"/>
        </w:rPr>
        <w:t>of</w:t>
      </w:r>
      <w:r w:rsidRPr="00590515">
        <w:rPr>
          <w:rFonts w:hint="eastAsia"/>
        </w:rPr>
        <w:t xml:space="preserve"> RAN1#124</w:t>
      </w:r>
      <w:bookmarkEnd w:id="5"/>
      <w:r>
        <w:rPr>
          <w:rFonts w:hint="eastAsia"/>
        </w:rPr>
        <w:t xml:space="preserve"> meeting,</w:t>
      </w:r>
      <w:r>
        <w:t>”</w:t>
      </w:r>
      <w:r>
        <w:rPr>
          <w:rFonts w:hint="eastAsia"/>
        </w:rPr>
        <w:t xml:space="preserve"> RAN1#124.</w:t>
      </w:r>
    </w:p>
    <w:p w14:paraId="56D8C4C8" w14:textId="298CBD5E" w:rsidR="00AB447A" w:rsidRPr="003C41AA" w:rsidRDefault="00AB447A" w:rsidP="005C26B7">
      <w:pPr>
        <w:widowControl/>
        <w:autoSpaceDE/>
        <w:autoSpaceDN/>
        <w:spacing w:line="288" w:lineRule="auto"/>
        <w:ind w:left="360"/>
        <w:contextualSpacing/>
        <w:rPr>
          <w:lang w:eastAsia="zh-CN"/>
        </w:rPr>
      </w:pPr>
    </w:p>
    <w:sectPr w:rsidR="00AB447A" w:rsidRPr="003C41AA" w:rsidSect="00260FD7">
      <w:footerReference w:type="default" r:id="rId8"/>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D117D" w14:textId="77777777" w:rsidR="009F3445" w:rsidRDefault="009F3445" w:rsidP="00C02370">
      <w:r>
        <w:separator/>
      </w:r>
    </w:p>
    <w:p w14:paraId="0834B6B7" w14:textId="77777777" w:rsidR="009F3445" w:rsidRDefault="009F3445" w:rsidP="00C02370"/>
  </w:endnote>
  <w:endnote w:type="continuationSeparator" w:id="0">
    <w:p w14:paraId="120E9DF7" w14:textId="77777777" w:rsidR="009F3445" w:rsidRDefault="009F3445" w:rsidP="00C02370">
      <w:r>
        <w:continuationSeparator/>
      </w:r>
    </w:p>
    <w:p w14:paraId="55CEC7A0" w14:textId="77777777" w:rsidR="009F3445" w:rsidRDefault="009F3445"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412055"/>
      <w:docPartObj>
        <w:docPartGallery w:val="Page Numbers (Bottom of Page)"/>
        <w:docPartUnique/>
      </w:docPartObj>
    </w:sdtPr>
    <w:sdtContent>
      <w:p w14:paraId="313115D2" w14:textId="5F71E073" w:rsidR="00835C41" w:rsidRDefault="00835C41"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835C41" w:rsidRDefault="00000000" w:rsidP="00260FD7">
        <w:pPr>
          <w:pStyle w:val="a6"/>
          <w:jc w:val="center"/>
        </w:pPr>
      </w:p>
    </w:sdtContent>
  </w:sdt>
  <w:p w14:paraId="6DBE283A" w14:textId="77777777" w:rsidR="00835C41" w:rsidRDefault="00835C41"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B0A8C" w14:textId="77777777" w:rsidR="009F3445" w:rsidRDefault="009F3445" w:rsidP="00C02370">
      <w:r>
        <w:separator/>
      </w:r>
    </w:p>
    <w:p w14:paraId="54004FA9" w14:textId="77777777" w:rsidR="009F3445" w:rsidRDefault="009F3445" w:rsidP="00C02370"/>
  </w:footnote>
  <w:footnote w:type="continuationSeparator" w:id="0">
    <w:p w14:paraId="431370D8" w14:textId="77777777" w:rsidR="009F3445" w:rsidRDefault="009F3445" w:rsidP="00C02370">
      <w:r>
        <w:continuationSeparator/>
      </w:r>
    </w:p>
    <w:p w14:paraId="5BDCF7AB" w14:textId="77777777" w:rsidR="009F3445" w:rsidRDefault="009F3445"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776BF"/>
    <w:multiLevelType w:val="hybridMultilevel"/>
    <w:tmpl w:val="74F2C24E"/>
    <w:lvl w:ilvl="0" w:tplc="6088E032">
      <w:start w:val="1"/>
      <w:numFmt w:val="bullet"/>
      <w:lvlText w:val="•"/>
      <w:lvlJc w:val="left"/>
      <w:pPr>
        <w:ind w:left="840" w:hanging="420"/>
      </w:pPr>
      <w:rPr>
        <w:rFonts w:ascii="Arial" w:hAnsi="Arial" w:hint="default"/>
      </w:rPr>
    </w:lvl>
    <w:lvl w:ilvl="1" w:tplc="6088E032">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235086"/>
    <w:multiLevelType w:val="hybridMultilevel"/>
    <w:tmpl w:val="FCEC6D1E"/>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 w15:restartNumberingAfterBreak="0">
    <w:nsid w:val="07C82390"/>
    <w:multiLevelType w:val="multilevel"/>
    <w:tmpl w:val="E5D4BC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7364F4"/>
    <w:multiLevelType w:val="multilevel"/>
    <w:tmpl w:val="087364F4"/>
    <w:lvl w:ilvl="0">
      <w:start w:val="7"/>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9762B2B"/>
    <w:multiLevelType w:val="hybridMultilevel"/>
    <w:tmpl w:val="D884C4D6"/>
    <w:lvl w:ilvl="0" w:tplc="BD9EFA4C">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64D4D09"/>
    <w:multiLevelType w:val="hybridMultilevel"/>
    <w:tmpl w:val="452043A8"/>
    <w:lvl w:ilvl="0" w:tplc="4A2CE19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8"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9" w15:restartNumberingAfterBreak="0">
    <w:nsid w:val="1CD71883"/>
    <w:multiLevelType w:val="hybridMultilevel"/>
    <w:tmpl w:val="187EE1EA"/>
    <w:lvl w:ilvl="0" w:tplc="2DBA8A54">
      <w:start w:val="1"/>
      <w:numFmt w:val="decimal"/>
      <w:lvlText w:val="Proposal %1:"/>
      <w:lvlJc w:val="left"/>
      <w:pPr>
        <w:ind w:left="2310" w:hanging="420"/>
      </w:pPr>
      <w:rPr>
        <w:rFonts w:hint="eastAsia"/>
        <w:b/>
        <w:bCs/>
        <w:lang w:val="en-GB"/>
      </w:rPr>
    </w:lvl>
    <w:lvl w:ilvl="1" w:tplc="14485B9C">
      <w:start w:val="1"/>
      <w:numFmt w:val="bullet"/>
      <w:lvlText w:val="-"/>
      <w:lvlJc w:val="left"/>
      <w:pPr>
        <w:ind w:left="130" w:hanging="420"/>
      </w:pPr>
      <w:rPr>
        <w:rFonts w:ascii="Times New Roman" w:eastAsia="SimSun" w:hAnsi="Times New Roman" w:cs="Times New Roman" w:hint="default"/>
      </w:r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0" w15:restartNumberingAfterBreak="0">
    <w:nsid w:val="21F031D0"/>
    <w:multiLevelType w:val="hybridMultilevel"/>
    <w:tmpl w:val="3B92A1D4"/>
    <w:lvl w:ilvl="0" w:tplc="FA4E3B7A">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267503D4"/>
    <w:multiLevelType w:val="multilevel"/>
    <w:tmpl w:val="370878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 w15:restartNumberingAfterBreak="0">
    <w:nsid w:val="2A45665C"/>
    <w:multiLevelType w:val="multilevel"/>
    <w:tmpl w:val="4E94122C"/>
    <w:lvl w:ilvl="0">
      <w:start w:val="37"/>
      <w:numFmt w:val="decimal"/>
      <w:lvlText w:val="Proposal %1."/>
      <w:lvlJc w:val="left"/>
      <w:pPr>
        <w:ind w:left="440" w:hanging="440"/>
      </w:pPr>
      <w:rPr>
        <w:rFonts w:hint="eastAsia"/>
        <w:b/>
        <w:bCs/>
        <w:lang w:val="en-GB"/>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14"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DE44CA1"/>
    <w:multiLevelType w:val="hybridMultilevel"/>
    <w:tmpl w:val="0B1C7158"/>
    <w:lvl w:ilvl="0" w:tplc="7C8476B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2EC20983"/>
    <w:multiLevelType w:val="multilevel"/>
    <w:tmpl w:val="2EC209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0B95392"/>
    <w:multiLevelType w:val="multilevel"/>
    <w:tmpl w:val="2C342BAA"/>
    <w:lvl w:ilvl="0">
      <w:start w:val="1"/>
      <w:numFmt w:val="bullet"/>
      <w:lvlText w:val=""/>
      <w:lvlJc w:val="left"/>
      <w:pPr>
        <w:tabs>
          <w:tab w:val="num" w:pos="720"/>
        </w:tabs>
        <w:ind w:left="720" w:hanging="360"/>
      </w:pPr>
      <w:rPr>
        <w:rFonts w:ascii="Symbol" w:hAnsi="Symbol" w:hint="default"/>
        <w:sz w:val="20"/>
        <w:lang w:val="en-GB"/>
      </w:rPr>
    </w:lvl>
    <w:lvl w:ilvl="1">
      <w:numFmt w:val="bullet"/>
      <w:lvlText w:val="-"/>
      <w:lvlJc w:val="left"/>
      <w:pPr>
        <w:ind w:left="1520" w:hanging="44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3144600"/>
    <w:multiLevelType w:val="hybridMultilevel"/>
    <w:tmpl w:val="4132A3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20" w15:restartNumberingAfterBreak="0">
    <w:nsid w:val="37626603"/>
    <w:multiLevelType w:val="hybridMultilevel"/>
    <w:tmpl w:val="969A1286"/>
    <w:lvl w:ilvl="0" w:tplc="4EA0AC6E">
      <w:start w:val="1"/>
      <w:numFmt w:val="bullet"/>
      <w:lvlText w:val=""/>
      <w:lvlJc w:val="left"/>
      <w:pPr>
        <w:ind w:left="360" w:hanging="360"/>
      </w:pPr>
      <w:rPr>
        <w:rFonts w:ascii="Symbol" w:hAnsi="Symbol" w:hint="default"/>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F6305CD"/>
    <w:multiLevelType w:val="hybridMultilevel"/>
    <w:tmpl w:val="A4F61CC2"/>
    <w:lvl w:ilvl="0" w:tplc="4EA0AC6E">
      <w:start w:val="1"/>
      <w:numFmt w:val="bullet"/>
      <w:lvlText w:val=""/>
      <w:lvlJc w:val="left"/>
      <w:pPr>
        <w:ind w:left="360" w:hanging="360"/>
      </w:pPr>
      <w:rPr>
        <w:rFonts w:ascii="Symbol" w:hAnsi="Symbol" w:hint="default"/>
        <w:sz w:val="20"/>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3" w15:restartNumberingAfterBreak="0">
    <w:nsid w:val="3F806275"/>
    <w:multiLevelType w:val="hybridMultilevel"/>
    <w:tmpl w:val="3FC008EC"/>
    <w:lvl w:ilvl="0" w:tplc="99F00FD0">
      <w:start w:val="1"/>
      <w:numFmt w:val="bullet"/>
      <w:lvlText w:val=""/>
      <w:lvlJc w:val="left"/>
      <w:pPr>
        <w:ind w:left="480" w:hanging="480"/>
      </w:pPr>
      <w:rPr>
        <w:rFonts w:ascii="Symbol" w:hAnsi="Symbol" w:hint="default"/>
        <w:sz w:val="20"/>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24" w15:restartNumberingAfterBreak="0">
    <w:nsid w:val="40D97C0D"/>
    <w:multiLevelType w:val="multilevel"/>
    <w:tmpl w:val="40D97C0D"/>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7E188A"/>
    <w:multiLevelType w:val="hybridMultilevel"/>
    <w:tmpl w:val="FC6C5C0E"/>
    <w:lvl w:ilvl="0" w:tplc="04090001">
      <w:start w:val="1"/>
      <w:numFmt w:val="bullet"/>
      <w:lvlText w:val=""/>
      <w:lvlJc w:val="left"/>
      <w:pPr>
        <w:ind w:left="840" w:hanging="420"/>
      </w:pPr>
      <w:rPr>
        <w:rFonts w:ascii="Symbol" w:hAnsi="Symbol" w:hint="default"/>
        <w:sz w:val="20"/>
        <w:szCs w:val="2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0" w15:restartNumberingAfterBreak="0">
    <w:nsid w:val="54DA7C9F"/>
    <w:multiLevelType w:val="multilevel"/>
    <w:tmpl w:val="77E868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9A97768"/>
    <w:multiLevelType w:val="multilevel"/>
    <w:tmpl w:val="40B00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23E408B"/>
    <w:multiLevelType w:val="multilevel"/>
    <w:tmpl w:val="98C07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6" w15:restartNumberingAfterBreak="0">
    <w:nsid w:val="70163D6C"/>
    <w:multiLevelType w:val="multilevel"/>
    <w:tmpl w:val="70163D6C"/>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37" w15:restartNumberingAfterBreak="0">
    <w:nsid w:val="70192EDB"/>
    <w:multiLevelType w:val="hybridMultilevel"/>
    <w:tmpl w:val="935C983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56825700">
    <w:abstractNumId w:val="5"/>
  </w:num>
  <w:num w:numId="2" w16cid:durableId="2015758707">
    <w:abstractNumId w:val="7"/>
  </w:num>
  <w:num w:numId="3" w16cid:durableId="2079282687">
    <w:abstractNumId w:val="8"/>
  </w:num>
  <w:num w:numId="4" w16cid:durableId="1680350934">
    <w:abstractNumId w:val="38"/>
  </w:num>
  <w:num w:numId="5" w16cid:durableId="858199534">
    <w:abstractNumId w:val="32"/>
  </w:num>
  <w:num w:numId="6" w16cid:durableId="1447505248">
    <w:abstractNumId w:val="25"/>
  </w:num>
  <w:num w:numId="7" w16cid:durableId="1112868697">
    <w:abstractNumId w:val="34"/>
  </w:num>
  <w:num w:numId="8" w16cid:durableId="152526891">
    <w:abstractNumId w:val="11"/>
  </w:num>
  <w:num w:numId="9" w16cid:durableId="55664171">
    <w:abstractNumId w:val="26"/>
  </w:num>
  <w:num w:numId="10" w16cid:durableId="1987776638">
    <w:abstractNumId w:val="14"/>
  </w:num>
  <w:num w:numId="11" w16cid:durableId="1826554066">
    <w:abstractNumId w:val="21"/>
  </w:num>
  <w:num w:numId="12" w16cid:durableId="939753097">
    <w:abstractNumId w:val="31"/>
  </w:num>
  <w:num w:numId="13" w16cid:durableId="1510103297">
    <w:abstractNumId w:val="12"/>
  </w:num>
  <w:num w:numId="14" w16cid:durableId="246379933">
    <w:abstractNumId w:val="29"/>
  </w:num>
  <w:num w:numId="15" w16cid:durableId="959871630">
    <w:abstractNumId w:val="35"/>
  </w:num>
  <w:num w:numId="16" w16cid:durableId="74478484">
    <w:abstractNumId w:val="19"/>
  </w:num>
  <w:num w:numId="17" w16cid:durableId="54739347">
    <w:abstractNumId w:val="4"/>
  </w:num>
  <w:num w:numId="18" w16cid:durableId="113259032">
    <w:abstractNumId w:val="10"/>
  </w:num>
  <w:num w:numId="19" w16cid:durableId="1638993599">
    <w:abstractNumId w:val="37"/>
  </w:num>
  <w:num w:numId="20" w16cid:durableId="562256473">
    <w:abstractNumId w:val="2"/>
  </w:num>
  <w:num w:numId="21" w16cid:durableId="464276163">
    <w:abstractNumId w:val="30"/>
  </w:num>
  <w:num w:numId="22" w16cid:durableId="1564637410">
    <w:abstractNumId w:val="1"/>
  </w:num>
  <w:num w:numId="23" w16cid:durableId="1508590904">
    <w:abstractNumId w:val="22"/>
  </w:num>
  <w:num w:numId="24" w16cid:durableId="779573074">
    <w:abstractNumId w:val="20"/>
  </w:num>
  <w:num w:numId="25" w16cid:durableId="1795560272">
    <w:abstractNumId w:val="23"/>
  </w:num>
  <w:num w:numId="26" w16cid:durableId="1381007037">
    <w:abstractNumId w:val="17"/>
  </w:num>
  <w:num w:numId="27" w16cid:durableId="1694914664">
    <w:abstractNumId w:val="36"/>
  </w:num>
  <w:num w:numId="28" w16cid:durableId="160439155">
    <w:abstractNumId w:val="0"/>
  </w:num>
  <w:num w:numId="29" w16cid:durableId="180358694">
    <w:abstractNumId w:val="18"/>
  </w:num>
  <w:num w:numId="30" w16cid:durableId="624775544">
    <w:abstractNumId w:val="27"/>
  </w:num>
  <w:num w:numId="31" w16cid:durableId="67852877">
    <w:abstractNumId w:val="16"/>
  </w:num>
  <w:num w:numId="32" w16cid:durableId="860750779">
    <w:abstractNumId w:val="24"/>
  </w:num>
  <w:num w:numId="33" w16cid:durableId="1728338693">
    <w:abstractNumId w:val="3"/>
  </w:num>
  <w:num w:numId="34" w16cid:durableId="49816816">
    <w:abstractNumId w:val="13"/>
  </w:num>
  <w:num w:numId="35" w16cid:durableId="1166284706">
    <w:abstractNumId w:val="28"/>
  </w:num>
  <w:num w:numId="36" w16cid:durableId="1315986047">
    <w:abstractNumId w:val="9"/>
  </w:num>
  <w:num w:numId="37" w16cid:durableId="323969154">
    <w:abstractNumId w:val="6"/>
  </w:num>
  <w:num w:numId="38" w16cid:durableId="1059093262">
    <w:abstractNumId w:val="33"/>
  </w:num>
  <w:num w:numId="39" w16cid:durableId="3971654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0D04"/>
    <w:rsid w:val="000015A9"/>
    <w:rsid w:val="000019DA"/>
    <w:rsid w:val="00001A26"/>
    <w:rsid w:val="00001E0D"/>
    <w:rsid w:val="0000222C"/>
    <w:rsid w:val="0000229F"/>
    <w:rsid w:val="0000235C"/>
    <w:rsid w:val="00002779"/>
    <w:rsid w:val="0000278D"/>
    <w:rsid w:val="00002D75"/>
    <w:rsid w:val="00002DEF"/>
    <w:rsid w:val="00003435"/>
    <w:rsid w:val="00003465"/>
    <w:rsid w:val="00003A09"/>
    <w:rsid w:val="00003EE4"/>
    <w:rsid w:val="00004E2F"/>
    <w:rsid w:val="000054CA"/>
    <w:rsid w:val="000068E0"/>
    <w:rsid w:val="00006E50"/>
    <w:rsid w:val="000071C5"/>
    <w:rsid w:val="00007C55"/>
    <w:rsid w:val="00007FAE"/>
    <w:rsid w:val="000105AA"/>
    <w:rsid w:val="00010694"/>
    <w:rsid w:val="000106AB"/>
    <w:rsid w:val="00010F74"/>
    <w:rsid w:val="00011519"/>
    <w:rsid w:val="00011F86"/>
    <w:rsid w:val="000120A5"/>
    <w:rsid w:val="00012720"/>
    <w:rsid w:val="000131BC"/>
    <w:rsid w:val="00013314"/>
    <w:rsid w:val="00013DDD"/>
    <w:rsid w:val="00013EFE"/>
    <w:rsid w:val="00014052"/>
    <w:rsid w:val="00014876"/>
    <w:rsid w:val="000149DA"/>
    <w:rsid w:val="00014A92"/>
    <w:rsid w:val="0001524F"/>
    <w:rsid w:val="0001626E"/>
    <w:rsid w:val="00016C32"/>
    <w:rsid w:val="00016D8A"/>
    <w:rsid w:val="000178C5"/>
    <w:rsid w:val="000179A3"/>
    <w:rsid w:val="00017BA8"/>
    <w:rsid w:val="000201B5"/>
    <w:rsid w:val="000207AF"/>
    <w:rsid w:val="00020992"/>
    <w:rsid w:val="00020C3A"/>
    <w:rsid w:val="00020DCD"/>
    <w:rsid w:val="00020E41"/>
    <w:rsid w:val="00021495"/>
    <w:rsid w:val="000215BC"/>
    <w:rsid w:val="0002275C"/>
    <w:rsid w:val="00023467"/>
    <w:rsid w:val="00023926"/>
    <w:rsid w:val="00023EB6"/>
    <w:rsid w:val="00023EF2"/>
    <w:rsid w:val="000245D4"/>
    <w:rsid w:val="000248D7"/>
    <w:rsid w:val="00024DD6"/>
    <w:rsid w:val="00025246"/>
    <w:rsid w:val="0002550B"/>
    <w:rsid w:val="00025869"/>
    <w:rsid w:val="0002613A"/>
    <w:rsid w:val="000262B5"/>
    <w:rsid w:val="00026747"/>
    <w:rsid w:val="0002675E"/>
    <w:rsid w:val="00026DEC"/>
    <w:rsid w:val="000270E0"/>
    <w:rsid w:val="000271A7"/>
    <w:rsid w:val="00027E83"/>
    <w:rsid w:val="000300D7"/>
    <w:rsid w:val="000311CC"/>
    <w:rsid w:val="00031206"/>
    <w:rsid w:val="000319BD"/>
    <w:rsid w:val="00031C62"/>
    <w:rsid w:val="00031F17"/>
    <w:rsid w:val="00031FE6"/>
    <w:rsid w:val="000321FA"/>
    <w:rsid w:val="0003221A"/>
    <w:rsid w:val="000330DC"/>
    <w:rsid w:val="00033B06"/>
    <w:rsid w:val="0003457B"/>
    <w:rsid w:val="00034F4D"/>
    <w:rsid w:val="00035081"/>
    <w:rsid w:val="00035352"/>
    <w:rsid w:val="00035A30"/>
    <w:rsid w:val="00035CB3"/>
    <w:rsid w:val="000361F9"/>
    <w:rsid w:val="00036283"/>
    <w:rsid w:val="00036623"/>
    <w:rsid w:val="00036CCB"/>
    <w:rsid w:val="00037074"/>
    <w:rsid w:val="00037296"/>
    <w:rsid w:val="00037854"/>
    <w:rsid w:val="00037AFB"/>
    <w:rsid w:val="00037D1A"/>
    <w:rsid w:val="00037F2C"/>
    <w:rsid w:val="00040865"/>
    <w:rsid w:val="00040FEC"/>
    <w:rsid w:val="000410A8"/>
    <w:rsid w:val="00041111"/>
    <w:rsid w:val="00041687"/>
    <w:rsid w:val="00041908"/>
    <w:rsid w:val="000419ED"/>
    <w:rsid w:val="000423B0"/>
    <w:rsid w:val="0004259E"/>
    <w:rsid w:val="00042641"/>
    <w:rsid w:val="00042B00"/>
    <w:rsid w:val="00042B5A"/>
    <w:rsid w:val="00043174"/>
    <w:rsid w:val="00043B96"/>
    <w:rsid w:val="000440F1"/>
    <w:rsid w:val="0004478E"/>
    <w:rsid w:val="00045821"/>
    <w:rsid w:val="0004612D"/>
    <w:rsid w:val="000465C5"/>
    <w:rsid w:val="00046B22"/>
    <w:rsid w:val="00046DB4"/>
    <w:rsid w:val="00047941"/>
    <w:rsid w:val="00050FAF"/>
    <w:rsid w:val="00051480"/>
    <w:rsid w:val="000515DB"/>
    <w:rsid w:val="0005191D"/>
    <w:rsid w:val="0005198B"/>
    <w:rsid w:val="00051E09"/>
    <w:rsid w:val="000528B1"/>
    <w:rsid w:val="00052C86"/>
    <w:rsid w:val="00053C76"/>
    <w:rsid w:val="00054051"/>
    <w:rsid w:val="00054509"/>
    <w:rsid w:val="00054783"/>
    <w:rsid w:val="00055036"/>
    <w:rsid w:val="00055707"/>
    <w:rsid w:val="00055BE5"/>
    <w:rsid w:val="00056688"/>
    <w:rsid w:val="00056BBF"/>
    <w:rsid w:val="000575CC"/>
    <w:rsid w:val="00057DDB"/>
    <w:rsid w:val="00057F7F"/>
    <w:rsid w:val="000601E9"/>
    <w:rsid w:val="00060D8C"/>
    <w:rsid w:val="00061359"/>
    <w:rsid w:val="00061803"/>
    <w:rsid w:val="000619A3"/>
    <w:rsid w:val="00061DA8"/>
    <w:rsid w:val="00061F3F"/>
    <w:rsid w:val="000625AD"/>
    <w:rsid w:val="00062E35"/>
    <w:rsid w:val="000635F1"/>
    <w:rsid w:val="00063D73"/>
    <w:rsid w:val="00064899"/>
    <w:rsid w:val="00064FBC"/>
    <w:rsid w:val="0006554E"/>
    <w:rsid w:val="000657E6"/>
    <w:rsid w:val="00065810"/>
    <w:rsid w:val="00065C15"/>
    <w:rsid w:val="00066CD0"/>
    <w:rsid w:val="00067A2C"/>
    <w:rsid w:val="00071410"/>
    <w:rsid w:val="000715F7"/>
    <w:rsid w:val="00071891"/>
    <w:rsid w:val="00071C67"/>
    <w:rsid w:val="00072838"/>
    <w:rsid w:val="00072C72"/>
    <w:rsid w:val="00072FBD"/>
    <w:rsid w:val="000730AB"/>
    <w:rsid w:val="000741C3"/>
    <w:rsid w:val="00074696"/>
    <w:rsid w:val="00074910"/>
    <w:rsid w:val="00074ED5"/>
    <w:rsid w:val="00074F4F"/>
    <w:rsid w:val="0007561C"/>
    <w:rsid w:val="0007592F"/>
    <w:rsid w:val="000770AA"/>
    <w:rsid w:val="000770E3"/>
    <w:rsid w:val="00077148"/>
    <w:rsid w:val="00080554"/>
    <w:rsid w:val="00080582"/>
    <w:rsid w:val="00080B11"/>
    <w:rsid w:val="00082093"/>
    <w:rsid w:val="000821DA"/>
    <w:rsid w:val="0008260C"/>
    <w:rsid w:val="00082DA2"/>
    <w:rsid w:val="00083058"/>
    <w:rsid w:val="00083EE4"/>
    <w:rsid w:val="00084C2C"/>
    <w:rsid w:val="00084F5A"/>
    <w:rsid w:val="000851B4"/>
    <w:rsid w:val="0008600A"/>
    <w:rsid w:val="00086180"/>
    <w:rsid w:val="00086478"/>
    <w:rsid w:val="00086E21"/>
    <w:rsid w:val="00087110"/>
    <w:rsid w:val="00087422"/>
    <w:rsid w:val="0008758A"/>
    <w:rsid w:val="000875C5"/>
    <w:rsid w:val="0008764C"/>
    <w:rsid w:val="00087CF6"/>
    <w:rsid w:val="00090328"/>
    <w:rsid w:val="00090805"/>
    <w:rsid w:val="00090CF8"/>
    <w:rsid w:val="0009152A"/>
    <w:rsid w:val="00091C00"/>
    <w:rsid w:val="00093EC0"/>
    <w:rsid w:val="00095535"/>
    <w:rsid w:val="00095724"/>
    <w:rsid w:val="00095C8B"/>
    <w:rsid w:val="00096468"/>
    <w:rsid w:val="00096655"/>
    <w:rsid w:val="00096AE0"/>
    <w:rsid w:val="000972E2"/>
    <w:rsid w:val="000976CD"/>
    <w:rsid w:val="00097B2A"/>
    <w:rsid w:val="000A0305"/>
    <w:rsid w:val="000A1094"/>
    <w:rsid w:val="000A15DF"/>
    <w:rsid w:val="000A1B97"/>
    <w:rsid w:val="000A1C2E"/>
    <w:rsid w:val="000A1C69"/>
    <w:rsid w:val="000A2302"/>
    <w:rsid w:val="000A2495"/>
    <w:rsid w:val="000A252D"/>
    <w:rsid w:val="000A2D2A"/>
    <w:rsid w:val="000A2DA5"/>
    <w:rsid w:val="000A3999"/>
    <w:rsid w:val="000A4492"/>
    <w:rsid w:val="000A4BC3"/>
    <w:rsid w:val="000A4F09"/>
    <w:rsid w:val="000A4F52"/>
    <w:rsid w:val="000A520D"/>
    <w:rsid w:val="000A53E1"/>
    <w:rsid w:val="000A56F8"/>
    <w:rsid w:val="000A5966"/>
    <w:rsid w:val="000A5AB8"/>
    <w:rsid w:val="000A5C6B"/>
    <w:rsid w:val="000A5C7A"/>
    <w:rsid w:val="000A5ED5"/>
    <w:rsid w:val="000A5FCC"/>
    <w:rsid w:val="000A6B40"/>
    <w:rsid w:val="000A6E04"/>
    <w:rsid w:val="000A6FBF"/>
    <w:rsid w:val="000A7209"/>
    <w:rsid w:val="000A77E2"/>
    <w:rsid w:val="000A79E2"/>
    <w:rsid w:val="000A7A23"/>
    <w:rsid w:val="000A7AA2"/>
    <w:rsid w:val="000A7DA5"/>
    <w:rsid w:val="000A7E7E"/>
    <w:rsid w:val="000B02AE"/>
    <w:rsid w:val="000B0347"/>
    <w:rsid w:val="000B0515"/>
    <w:rsid w:val="000B051C"/>
    <w:rsid w:val="000B07B2"/>
    <w:rsid w:val="000B08FB"/>
    <w:rsid w:val="000B099A"/>
    <w:rsid w:val="000B09C6"/>
    <w:rsid w:val="000B0B65"/>
    <w:rsid w:val="000B1033"/>
    <w:rsid w:val="000B1087"/>
    <w:rsid w:val="000B14B6"/>
    <w:rsid w:val="000B1ECC"/>
    <w:rsid w:val="000B2028"/>
    <w:rsid w:val="000B224A"/>
    <w:rsid w:val="000B22DA"/>
    <w:rsid w:val="000B25F2"/>
    <w:rsid w:val="000B2C53"/>
    <w:rsid w:val="000B310A"/>
    <w:rsid w:val="000B33EB"/>
    <w:rsid w:val="000B3796"/>
    <w:rsid w:val="000B549A"/>
    <w:rsid w:val="000B58C4"/>
    <w:rsid w:val="000B7A23"/>
    <w:rsid w:val="000B7CE8"/>
    <w:rsid w:val="000C0019"/>
    <w:rsid w:val="000C01F1"/>
    <w:rsid w:val="000C0C86"/>
    <w:rsid w:val="000C0FA8"/>
    <w:rsid w:val="000C1994"/>
    <w:rsid w:val="000C1E2F"/>
    <w:rsid w:val="000C216C"/>
    <w:rsid w:val="000C2178"/>
    <w:rsid w:val="000C22DD"/>
    <w:rsid w:val="000C2CD2"/>
    <w:rsid w:val="000C2CE1"/>
    <w:rsid w:val="000C2E7E"/>
    <w:rsid w:val="000C2F46"/>
    <w:rsid w:val="000C3730"/>
    <w:rsid w:val="000C3CF3"/>
    <w:rsid w:val="000C4100"/>
    <w:rsid w:val="000C41C4"/>
    <w:rsid w:val="000C45BC"/>
    <w:rsid w:val="000C4AC7"/>
    <w:rsid w:val="000C4DB8"/>
    <w:rsid w:val="000C596F"/>
    <w:rsid w:val="000C597C"/>
    <w:rsid w:val="000C5B48"/>
    <w:rsid w:val="000C5E53"/>
    <w:rsid w:val="000C64EE"/>
    <w:rsid w:val="000C6E8A"/>
    <w:rsid w:val="000C7B3B"/>
    <w:rsid w:val="000D03B1"/>
    <w:rsid w:val="000D16EB"/>
    <w:rsid w:val="000D2027"/>
    <w:rsid w:val="000D24C6"/>
    <w:rsid w:val="000D2D59"/>
    <w:rsid w:val="000D2F36"/>
    <w:rsid w:val="000D3063"/>
    <w:rsid w:val="000D33F7"/>
    <w:rsid w:val="000D3457"/>
    <w:rsid w:val="000D3CC0"/>
    <w:rsid w:val="000D3CEF"/>
    <w:rsid w:val="000D4AEA"/>
    <w:rsid w:val="000D4BD9"/>
    <w:rsid w:val="000D50AE"/>
    <w:rsid w:val="000D5638"/>
    <w:rsid w:val="000D5C58"/>
    <w:rsid w:val="000D6522"/>
    <w:rsid w:val="000D6714"/>
    <w:rsid w:val="000D68BE"/>
    <w:rsid w:val="000D6A31"/>
    <w:rsid w:val="000D6F2B"/>
    <w:rsid w:val="000D708A"/>
    <w:rsid w:val="000D710D"/>
    <w:rsid w:val="000D796D"/>
    <w:rsid w:val="000E002D"/>
    <w:rsid w:val="000E0214"/>
    <w:rsid w:val="000E08B6"/>
    <w:rsid w:val="000E0B10"/>
    <w:rsid w:val="000E14C9"/>
    <w:rsid w:val="000E1575"/>
    <w:rsid w:val="000E1BD2"/>
    <w:rsid w:val="000E1CE3"/>
    <w:rsid w:val="000E25B2"/>
    <w:rsid w:val="000E3A9E"/>
    <w:rsid w:val="000E411D"/>
    <w:rsid w:val="000E4AFA"/>
    <w:rsid w:val="000E5516"/>
    <w:rsid w:val="000E5D00"/>
    <w:rsid w:val="000E5DD8"/>
    <w:rsid w:val="000E6CBA"/>
    <w:rsid w:val="000E7061"/>
    <w:rsid w:val="000E70D9"/>
    <w:rsid w:val="000E76B8"/>
    <w:rsid w:val="000E7AC6"/>
    <w:rsid w:val="000E7E29"/>
    <w:rsid w:val="000F0276"/>
    <w:rsid w:val="000F08BC"/>
    <w:rsid w:val="000F092F"/>
    <w:rsid w:val="000F0E05"/>
    <w:rsid w:val="000F0EBD"/>
    <w:rsid w:val="000F268A"/>
    <w:rsid w:val="000F2C88"/>
    <w:rsid w:val="000F3040"/>
    <w:rsid w:val="000F35F2"/>
    <w:rsid w:val="000F3DD1"/>
    <w:rsid w:val="000F3EBC"/>
    <w:rsid w:val="000F45F6"/>
    <w:rsid w:val="000F4928"/>
    <w:rsid w:val="000F51EE"/>
    <w:rsid w:val="000F5327"/>
    <w:rsid w:val="000F573E"/>
    <w:rsid w:val="000F7D3D"/>
    <w:rsid w:val="00100499"/>
    <w:rsid w:val="00100636"/>
    <w:rsid w:val="001008AD"/>
    <w:rsid w:val="00100AFD"/>
    <w:rsid w:val="00101A0B"/>
    <w:rsid w:val="00101FB0"/>
    <w:rsid w:val="00101FEB"/>
    <w:rsid w:val="001022BE"/>
    <w:rsid w:val="001022E4"/>
    <w:rsid w:val="00102936"/>
    <w:rsid w:val="00102B29"/>
    <w:rsid w:val="00102B50"/>
    <w:rsid w:val="00102F55"/>
    <w:rsid w:val="00103D7D"/>
    <w:rsid w:val="001051CC"/>
    <w:rsid w:val="001056CD"/>
    <w:rsid w:val="00105F49"/>
    <w:rsid w:val="00105F7E"/>
    <w:rsid w:val="0010623F"/>
    <w:rsid w:val="00106589"/>
    <w:rsid w:val="00106703"/>
    <w:rsid w:val="00106AAD"/>
    <w:rsid w:val="00106E39"/>
    <w:rsid w:val="00107138"/>
    <w:rsid w:val="00107449"/>
    <w:rsid w:val="00107691"/>
    <w:rsid w:val="00107A93"/>
    <w:rsid w:val="00107D0E"/>
    <w:rsid w:val="00110EFE"/>
    <w:rsid w:val="0011169F"/>
    <w:rsid w:val="00111F15"/>
    <w:rsid w:val="0011257C"/>
    <w:rsid w:val="00112865"/>
    <w:rsid w:val="001132BC"/>
    <w:rsid w:val="0011351F"/>
    <w:rsid w:val="00113842"/>
    <w:rsid w:val="00114237"/>
    <w:rsid w:val="0011490F"/>
    <w:rsid w:val="00114CCB"/>
    <w:rsid w:val="00114E27"/>
    <w:rsid w:val="0011510F"/>
    <w:rsid w:val="00115A10"/>
    <w:rsid w:val="00115B6E"/>
    <w:rsid w:val="00116095"/>
    <w:rsid w:val="001164DE"/>
    <w:rsid w:val="001166ED"/>
    <w:rsid w:val="001173BB"/>
    <w:rsid w:val="00117CD7"/>
    <w:rsid w:val="00120370"/>
    <w:rsid w:val="00120536"/>
    <w:rsid w:val="00120770"/>
    <w:rsid w:val="001207DD"/>
    <w:rsid w:val="00120990"/>
    <w:rsid w:val="00121540"/>
    <w:rsid w:val="0012180D"/>
    <w:rsid w:val="00121ABD"/>
    <w:rsid w:val="00121C9E"/>
    <w:rsid w:val="00122465"/>
    <w:rsid w:val="00122541"/>
    <w:rsid w:val="00122AD1"/>
    <w:rsid w:val="0012373B"/>
    <w:rsid w:val="00123A70"/>
    <w:rsid w:val="00123A9A"/>
    <w:rsid w:val="00123F77"/>
    <w:rsid w:val="00124FAE"/>
    <w:rsid w:val="00125303"/>
    <w:rsid w:val="00125B29"/>
    <w:rsid w:val="00125C2A"/>
    <w:rsid w:val="00125F95"/>
    <w:rsid w:val="0012610F"/>
    <w:rsid w:val="001261F1"/>
    <w:rsid w:val="0012694A"/>
    <w:rsid w:val="00126E7A"/>
    <w:rsid w:val="00127017"/>
    <w:rsid w:val="0012711D"/>
    <w:rsid w:val="0012723D"/>
    <w:rsid w:val="00127932"/>
    <w:rsid w:val="001306B8"/>
    <w:rsid w:val="001306C9"/>
    <w:rsid w:val="00130B0D"/>
    <w:rsid w:val="00130C3F"/>
    <w:rsid w:val="00130D40"/>
    <w:rsid w:val="001313B4"/>
    <w:rsid w:val="0013181A"/>
    <w:rsid w:val="001323A3"/>
    <w:rsid w:val="00132CEA"/>
    <w:rsid w:val="00132D18"/>
    <w:rsid w:val="0013311D"/>
    <w:rsid w:val="00133274"/>
    <w:rsid w:val="001332C7"/>
    <w:rsid w:val="001339E9"/>
    <w:rsid w:val="001343AB"/>
    <w:rsid w:val="001344CE"/>
    <w:rsid w:val="00134A77"/>
    <w:rsid w:val="00134BE4"/>
    <w:rsid w:val="00134BFB"/>
    <w:rsid w:val="00135B56"/>
    <w:rsid w:val="00135F09"/>
    <w:rsid w:val="00136508"/>
    <w:rsid w:val="001366C5"/>
    <w:rsid w:val="00136F33"/>
    <w:rsid w:val="001373E9"/>
    <w:rsid w:val="00140234"/>
    <w:rsid w:val="00141D2D"/>
    <w:rsid w:val="00141DAF"/>
    <w:rsid w:val="00142856"/>
    <w:rsid w:val="00142B01"/>
    <w:rsid w:val="00142E82"/>
    <w:rsid w:val="0014357C"/>
    <w:rsid w:val="00143742"/>
    <w:rsid w:val="00143885"/>
    <w:rsid w:val="00143E94"/>
    <w:rsid w:val="00143F9C"/>
    <w:rsid w:val="001444F0"/>
    <w:rsid w:val="00144D71"/>
    <w:rsid w:val="00144F1C"/>
    <w:rsid w:val="00145364"/>
    <w:rsid w:val="001453F6"/>
    <w:rsid w:val="001455C6"/>
    <w:rsid w:val="001456DB"/>
    <w:rsid w:val="00146205"/>
    <w:rsid w:val="00146486"/>
    <w:rsid w:val="001464E7"/>
    <w:rsid w:val="00146E10"/>
    <w:rsid w:val="00146EE4"/>
    <w:rsid w:val="00147AD7"/>
    <w:rsid w:val="00147B71"/>
    <w:rsid w:val="00150085"/>
    <w:rsid w:val="00150438"/>
    <w:rsid w:val="00150BE2"/>
    <w:rsid w:val="0015146A"/>
    <w:rsid w:val="00151544"/>
    <w:rsid w:val="00151D72"/>
    <w:rsid w:val="00151FA8"/>
    <w:rsid w:val="001528F6"/>
    <w:rsid w:val="00152FE2"/>
    <w:rsid w:val="0015334C"/>
    <w:rsid w:val="00153B6A"/>
    <w:rsid w:val="00154724"/>
    <w:rsid w:val="00154844"/>
    <w:rsid w:val="00154CF3"/>
    <w:rsid w:val="0015520A"/>
    <w:rsid w:val="0015579F"/>
    <w:rsid w:val="0015591C"/>
    <w:rsid w:val="00155A0A"/>
    <w:rsid w:val="00155CE6"/>
    <w:rsid w:val="0015602C"/>
    <w:rsid w:val="00156CE6"/>
    <w:rsid w:val="0015784B"/>
    <w:rsid w:val="001600BC"/>
    <w:rsid w:val="001610B4"/>
    <w:rsid w:val="00161198"/>
    <w:rsid w:val="00161699"/>
    <w:rsid w:val="00161AC9"/>
    <w:rsid w:val="00161D7A"/>
    <w:rsid w:val="00161F34"/>
    <w:rsid w:val="0016303E"/>
    <w:rsid w:val="001630AA"/>
    <w:rsid w:val="001637AA"/>
    <w:rsid w:val="001638D0"/>
    <w:rsid w:val="00163AD4"/>
    <w:rsid w:val="0016442C"/>
    <w:rsid w:val="00164805"/>
    <w:rsid w:val="00164AF7"/>
    <w:rsid w:val="00164BD6"/>
    <w:rsid w:val="0016512C"/>
    <w:rsid w:val="00165FE1"/>
    <w:rsid w:val="001669E8"/>
    <w:rsid w:val="00167108"/>
    <w:rsid w:val="00167142"/>
    <w:rsid w:val="00167641"/>
    <w:rsid w:val="00167F7D"/>
    <w:rsid w:val="00170C9A"/>
    <w:rsid w:val="00170CEE"/>
    <w:rsid w:val="00170FD0"/>
    <w:rsid w:val="001712F5"/>
    <w:rsid w:val="00172855"/>
    <w:rsid w:val="001734EA"/>
    <w:rsid w:val="0017356B"/>
    <w:rsid w:val="0017386A"/>
    <w:rsid w:val="001739BA"/>
    <w:rsid w:val="00173CEA"/>
    <w:rsid w:val="0017407A"/>
    <w:rsid w:val="001741C4"/>
    <w:rsid w:val="00174F4E"/>
    <w:rsid w:val="00174F84"/>
    <w:rsid w:val="0017573D"/>
    <w:rsid w:val="001759AA"/>
    <w:rsid w:val="00175E3C"/>
    <w:rsid w:val="00175F24"/>
    <w:rsid w:val="001761C0"/>
    <w:rsid w:val="0017627D"/>
    <w:rsid w:val="00176C7C"/>
    <w:rsid w:val="00177300"/>
    <w:rsid w:val="00177531"/>
    <w:rsid w:val="00177B2A"/>
    <w:rsid w:val="00177C27"/>
    <w:rsid w:val="00177EF4"/>
    <w:rsid w:val="0018080F"/>
    <w:rsid w:val="00180C11"/>
    <w:rsid w:val="00181246"/>
    <w:rsid w:val="00181E22"/>
    <w:rsid w:val="00182260"/>
    <w:rsid w:val="0018258B"/>
    <w:rsid w:val="00182AEB"/>
    <w:rsid w:val="00183303"/>
    <w:rsid w:val="00183F8B"/>
    <w:rsid w:val="001845B1"/>
    <w:rsid w:val="001846BC"/>
    <w:rsid w:val="001848AF"/>
    <w:rsid w:val="001854B3"/>
    <w:rsid w:val="001857BB"/>
    <w:rsid w:val="001859E4"/>
    <w:rsid w:val="00185F3C"/>
    <w:rsid w:val="0018657E"/>
    <w:rsid w:val="00186901"/>
    <w:rsid w:val="00186DEC"/>
    <w:rsid w:val="00186F57"/>
    <w:rsid w:val="00187A36"/>
    <w:rsid w:val="00187F4C"/>
    <w:rsid w:val="0019003D"/>
    <w:rsid w:val="00190450"/>
    <w:rsid w:val="00190594"/>
    <w:rsid w:val="00190B04"/>
    <w:rsid w:val="00190CB6"/>
    <w:rsid w:val="00190E6C"/>
    <w:rsid w:val="00191121"/>
    <w:rsid w:val="001912B0"/>
    <w:rsid w:val="0019165E"/>
    <w:rsid w:val="00191CE8"/>
    <w:rsid w:val="0019222B"/>
    <w:rsid w:val="0019313C"/>
    <w:rsid w:val="0019392B"/>
    <w:rsid w:val="00193F08"/>
    <w:rsid w:val="00193F4E"/>
    <w:rsid w:val="00194613"/>
    <w:rsid w:val="00194720"/>
    <w:rsid w:val="001949AF"/>
    <w:rsid w:val="00194B62"/>
    <w:rsid w:val="00194B63"/>
    <w:rsid w:val="001951C5"/>
    <w:rsid w:val="00195A3B"/>
    <w:rsid w:val="001961E1"/>
    <w:rsid w:val="001965AC"/>
    <w:rsid w:val="00196C22"/>
    <w:rsid w:val="00196DA6"/>
    <w:rsid w:val="001976D9"/>
    <w:rsid w:val="00197761"/>
    <w:rsid w:val="001977C1"/>
    <w:rsid w:val="001978AB"/>
    <w:rsid w:val="001A0091"/>
    <w:rsid w:val="001A0210"/>
    <w:rsid w:val="001A0490"/>
    <w:rsid w:val="001A19A3"/>
    <w:rsid w:val="001A242F"/>
    <w:rsid w:val="001A2DE4"/>
    <w:rsid w:val="001A2FED"/>
    <w:rsid w:val="001A32C8"/>
    <w:rsid w:val="001A340C"/>
    <w:rsid w:val="001A38DD"/>
    <w:rsid w:val="001A46F7"/>
    <w:rsid w:val="001A4BAE"/>
    <w:rsid w:val="001A4C86"/>
    <w:rsid w:val="001A5517"/>
    <w:rsid w:val="001A58B9"/>
    <w:rsid w:val="001A5C82"/>
    <w:rsid w:val="001A5D10"/>
    <w:rsid w:val="001A62BA"/>
    <w:rsid w:val="001A6D8A"/>
    <w:rsid w:val="001A7124"/>
    <w:rsid w:val="001A736B"/>
    <w:rsid w:val="001A73BD"/>
    <w:rsid w:val="001B00CE"/>
    <w:rsid w:val="001B00E4"/>
    <w:rsid w:val="001B0377"/>
    <w:rsid w:val="001B08F5"/>
    <w:rsid w:val="001B0D70"/>
    <w:rsid w:val="001B163E"/>
    <w:rsid w:val="001B1B7B"/>
    <w:rsid w:val="001B1EA9"/>
    <w:rsid w:val="001B2360"/>
    <w:rsid w:val="001B33AC"/>
    <w:rsid w:val="001B4853"/>
    <w:rsid w:val="001B52A3"/>
    <w:rsid w:val="001B543B"/>
    <w:rsid w:val="001B552F"/>
    <w:rsid w:val="001B5DF8"/>
    <w:rsid w:val="001B5E91"/>
    <w:rsid w:val="001B61F7"/>
    <w:rsid w:val="001B68A4"/>
    <w:rsid w:val="001B6B58"/>
    <w:rsid w:val="001B6E05"/>
    <w:rsid w:val="001B70B2"/>
    <w:rsid w:val="001B7667"/>
    <w:rsid w:val="001B7ADC"/>
    <w:rsid w:val="001B7C87"/>
    <w:rsid w:val="001C0069"/>
    <w:rsid w:val="001C0487"/>
    <w:rsid w:val="001C054C"/>
    <w:rsid w:val="001C080F"/>
    <w:rsid w:val="001C0DC0"/>
    <w:rsid w:val="001C13CF"/>
    <w:rsid w:val="001C14C2"/>
    <w:rsid w:val="001C1766"/>
    <w:rsid w:val="001C2283"/>
    <w:rsid w:val="001C241C"/>
    <w:rsid w:val="001C2682"/>
    <w:rsid w:val="001C2AF3"/>
    <w:rsid w:val="001C2D1C"/>
    <w:rsid w:val="001C2E44"/>
    <w:rsid w:val="001C2F1A"/>
    <w:rsid w:val="001C32DF"/>
    <w:rsid w:val="001C37AA"/>
    <w:rsid w:val="001C395E"/>
    <w:rsid w:val="001C4104"/>
    <w:rsid w:val="001C427C"/>
    <w:rsid w:val="001C44B9"/>
    <w:rsid w:val="001C44CB"/>
    <w:rsid w:val="001C546A"/>
    <w:rsid w:val="001C6108"/>
    <w:rsid w:val="001C63A7"/>
    <w:rsid w:val="001C647A"/>
    <w:rsid w:val="001C6640"/>
    <w:rsid w:val="001C71AB"/>
    <w:rsid w:val="001D0132"/>
    <w:rsid w:val="001D0635"/>
    <w:rsid w:val="001D08A1"/>
    <w:rsid w:val="001D10B9"/>
    <w:rsid w:val="001D1619"/>
    <w:rsid w:val="001D1C98"/>
    <w:rsid w:val="001D2281"/>
    <w:rsid w:val="001D246E"/>
    <w:rsid w:val="001D40ED"/>
    <w:rsid w:val="001D4E47"/>
    <w:rsid w:val="001D5908"/>
    <w:rsid w:val="001D596C"/>
    <w:rsid w:val="001D5FFD"/>
    <w:rsid w:val="001D6854"/>
    <w:rsid w:val="001D6D5A"/>
    <w:rsid w:val="001D7503"/>
    <w:rsid w:val="001D7F54"/>
    <w:rsid w:val="001D7FE0"/>
    <w:rsid w:val="001E0925"/>
    <w:rsid w:val="001E0CD7"/>
    <w:rsid w:val="001E10B9"/>
    <w:rsid w:val="001E1159"/>
    <w:rsid w:val="001E1504"/>
    <w:rsid w:val="001E1ACB"/>
    <w:rsid w:val="001E2138"/>
    <w:rsid w:val="001E25F5"/>
    <w:rsid w:val="001E2F39"/>
    <w:rsid w:val="001E36C2"/>
    <w:rsid w:val="001E3A2E"/>
    <w:rsid w:val="001E3B09"/>
    <w:rsid w:val="001E3C64"/>
    <w:rsid w:val="001E431E"/>
    <w:rsid w:val="001E54C7"/>
    <w:rsid w:val="001E5DDA"/>
    <w:rsid w:val="001E6722"/>
    <w:rsid w:val="001E6A77"/>
    <w:rsid w:val="001E74F1"/>
    <w:rsid w:val="001F0718"/>
    <w:rsid w:val="001F074F"/>
    <w:rsid w:val="001F07A2"/>
    <w:rsid w:val="001F0B33"/>
    <w:rsid w:val="001F1030"/>
    <w:rsid w:val="001F1206"/>
    <w:rsid w:val="001F1C39"/>
    <w:rsid w:val="001F1D88"/>
    <w:rsid w:val="001F2448"/>
    <w:rsid w:val="001F2705"/>
    <w:rsid w:val="001F2A51"/>
    <w:rsid w:val="001F3408"/>
    <w:rsid w:val="001F37F0"/>
    <w:rsid w:val="001F39CC"/>
    <w:rsid w:val="001F3C33"/>
    <w:rsid w:val="001F3F49"/>
    <w:rsid w:val="001F41A2"/>
    <w:rsid w:val="001F45FF"/>
    <w:rsid w:val="001F5C71"/>
    <w:rsid w:val="001F6844"/>
    <w:rsid w:val="001F6DE4"/>
    <w:rsid w:val="001F6E37"/>
    <w:rsid w:val="001F7AE7"/>
    <w:rsid w:val="001F7CF3"/>
    <w:rsid w:val="00200D68"/>
    <w:rsid w:val="00201246"/>
    <w:rsid w:val="002019C2"/>
    <w:rsid w:val="00201AE7"/>
    <w:rsid w:val="00201E22"/>
    <w:rsid w:val="0020205F"/>
    <w:rsid w:val="002022B4"/>
    <w:rsid w:val="0020269A"/>
    <w:rsid w:val="00203AC7"/>
    <w:rsid w:val="00203FBA"/>
    <w:rsid w:val="002043BA"/>
    <w:rsid w:val="00204884"/>
    <w:rsid w:val="002057D6"/>
    <w:rsid w:val="002064D2"/>
    <w:rsid w:val="0020730E"/>
    <w:rsid w:val="002077A6"/>
    <w:rsid w:val="00207901"/>
    <w:rsid w:val="00207E54"/>
    <w:rsid w:val="00210447"/>
    <w:rsid w:val="0021071B"/>
    <w:rsid w:val="00210DB1"/>
    <w:rsid w:val="00211525"/>
    <w:rsid w:val="00211BD7"/>
    <w:rsid w:val="00211E81"/>
    <w:rsid w:val="00212548"/>
    <w:rsid w:val="00212946"/>
    <w:rsid w:val="00212FBD"/>
    <w:rsid w:val="002134BF"/>
    <w:rsid w:val="0021388B"/>
    <w:rsid w:val="002139A6"/>
    <w:rsid w:val="00213BB5"/>
    <w:rsid w:val="0021574D"/>
    <w:rsid w:val="002159A5"/>
    <w:rsid w:val="00216034"/>
    <w:rsid w:val="00216078"/>
    <w:rsid w:val="0021642F"/>
    <w:rsid w:val="00216D19"/>
    <w:rsid w:val="00216D49"/>
    <w:rsid w:val="00216D8D"/>
    <w:rsid w:val="00216ED4"/>
    <w:rsid w:val="002176F1"/>
    <w:rsid w:val="002177AA"/>
    <w:rsid w:val="002177F8"/>
    <w:rsid w:val="00217E40"/>
    <w:rsid w:val="002202CD"/>
    <w:rsid w:val="0022101A"/>
    <w:rsid w:val="00221463"/>
    <w:rsid w:val="00222B32"/>
    <w:rsid w:val="00222D01"/>
    <w:rsid w:val="00222DC5"/>
    <w:rsid w:val="002233CE"/>
    <w:rsid w:val="002237E7"/>
    <w:rsid w:val="00223FCC"/>
    <w:rsid w:val="002240E1"/>
    <w:rsid w:val="00224D26"/>
    <w:rsid w:val="0022515E"/>
    <w:rsid w:val="00225610"/>
    <w:rsid w:val="002257F0"/>
    <w:rsid w:val="00225954"/>
    <w:rsid w:val="00226566"/>
    <w:rsid w:val="00226AFA"/>
    <w:rsid w:val="00226EB6"/>
    <w:rsid w:val="00227263"/>
    <w:rsid w:val="002278B4"/>
    <w:rsid w:val="002278CA"/>
    <w:rsid w:val="00227923"/>
    <w:rsid w:val="00227D92"/>
    <w:rsid w:val="0023029F"/>
    <w:rsid w:val="00230442"/>
    <w:rsid w:val="0023077C"/>
    <w:rsid w:val="00230983"/>
    <w:rsid w:val="002309EA"/>
    <w:rsid w:val="00230B09"/>
    <w:rsid w:val="00230C45"/>
    <w:rsid w:val="00231A8B"/>
    <w:rsid w:val="0023213F"/>
    <w:rsid w:val="002325B1"/>
    <w:rsid w:val="002328EE"/>
    <w:rsid w:val="002329E0"/>
    <w:rsid w:val="00232A40"/>
    <w:rsid w:val="002335C0"/>
    <w:rsid w:val="002337BB"/>
    <w:rsid w:val="00233A0F"/>
    <w:rsid w:val="00233B74"/>
    <w:rsid w:val="00233CE0"/>
    <w:rsid w:val="002346E2"/>
    <w:rsid w:val="00234B24"/>
    <w:rsid w:val="00235237"/>
    <w:rsid w:val="002357AB"/>
    <w:rsid w:val="00235AA8"/>
    <w:rsid w:val="002361DB"/>
    <w:rsid w:val="00236581"/>
    <w:rsid w:val="00236A90"/>
    <w:rsid w:val="00236C9E"/>
    <w:rsid w:val="0023704D"/>
    <w:rsid w:val="00237624"/>
    <w:rsid w:val="00237DBD"/>
    <w:rsid w:val="0024030D"/>
    <w:rsid w:val="00240316"/>
    <w:rsid w:val="00240872"/>
    <w:rsid w:val="0024089D"/>
    <w:rsid w:val="002411E1"/>
    <w:rsid w:val="00241D4B"/>
    <w:rsid w:val="00241E59"/>
    <w:rsid w:val="0024202C"/>
    <w:rsid w:val="002427B1"/>
    <w:rsid w:val="00242A51"/>
    <w:rsid w:val="00242C14"/>
    <w:rsid w:val="00242E06"/>
    <w:rsid w:val="00243B97"/>
    <w:rsid w:val="002443A5"/>
    <w:rsid w:val="00244ADF"/>
    <w:rsid w:val="00245275"/>
    <w:rsid w:val="002455D6"/>
    <w:rsid w:val="00245701"/>
    <w:rsid w:val="00245749"/>
    <w:rsid w:val="0024583A"/>
    <w:rsid w:val="00245F78"/>
    <w:rsid w:val="00246024"/>
    <w:rsid w:val="002461FB"/>
    <w:rsid w:val="00246DD6"/>
    <w:rsid w:val="00247131"/>
    <w:rsid w:val="00250493"/>
    <w:rsid w:val="00250552"/>
    <w:rsid w:val="0025069B"/>
    <w:rsid w:val="00250934"/>
    <w:rsid w:val="002509A7"/>
    <w:rsid w:val="00250C45"/>
    <w:rsid w:val="00251431"/>
    <w:rsid w:val="00251DC6"/>
    <w:rsid w:val="00252243"/>
    <w:rsid w:val="002522CD"/>
    <w:rsid w:val="002523B8"/>
    <w:rsid w:val="002527D4"/>
    <w:rsid w:val="00252AAF"/>
    <w:rsid w:val="0025347B"/>
    <w:rsid w:val="00253561"/>
    <w:rsid w:val="0025356D"/>
    <w:rsid w:val="00253E85"/>
    <w:rsid w:val="0025449B"/>
    <w:rsid w:val="00254CA3"/>
    <w:rsid w:val="00255084"/>
    <w:rsid w:val="002552CC"/>
    <w:rsid w:val="00256203"/>
    <w:rsid w:val="00256304"/>
    <w:rsid w:val="0025632C"/>
    <w:rsid w:val="002564FE"/>
    <w:rsid w:val="00256E23"/>
    <w:rsid w:val="00256F43"/>
    <w:rsid w:val="002576F9"/>
    <w:rsid w:val="00257A8C"/>
    <w:rsid w:val="0026005A"/>
    <w:rsid w:val="0026016C"/>
    <w:rsid w:val="00260417"/>
    <w:rsid w:val="00260502"/>
    <w:rsid w:val="00260A6F"/>
    <w:rsid w:val="00260B39"/>
    <w:rsid w:val="00260FD7"/>
    <w:rsid w:val="002613FC"/>
    <w:rsid w:val="00261405"/>
    <w:rsid w:val="00262070"/>
    <w:rsid w:val="002623B1"/>
    <w:rsid w:val="002624BB"/>
    <w:rsid w:val="00262DA9"/>
    <w:rsid w:val="00263071"/>
    <w:rsid w:val="0026324E"/>
    <w:rsid w:val="002633E5"/>
    <w:rsid w:val="00263810"/>
    <w:rsid w:val="002642E7"/>
    <w:rsid w:val="002651B6"/>
    <w:rsid w:val="002663AA"/>
    <w:rsid w:val="0026703B"/>
    <w:rsid w:val="0026731E"/>
    <w:rsid w:val="002704B9"/>
    <w:rsid w:val="00270B73"/>
    <w:rsid w:val="00270D26"/>
    <w:rsid w:val="00270ECC"/>
    <w:rsid w:val="00270FC5"/>
    <w:rsid w:val="00271636"/>
    <w:rsid w:val="00272093"/>
    <w:rsid w:val="002730B9"/>
    <w:rsid w:val="00273322"/>
    <w:rsid w:val="002740DC"/>
    <w:rsid w:val="0027492A"/>
    <w:rsid w:val="00274A43"/>
    <w:rsid w:val="00275092"/>
    <w:rsid w:val="00275B36"/>
    <w:rsid w:val="0027621B"/>
    <w:rsid w:val="00276CCD"/>
    <w:rsid w:val="00276DD8"/>
    <w:rsid w:val="00276E23"/>
    <w:rsid w:val="002773B7"/>
    <w:rsid w:val="002774BE"/>
    <w:rsid w:val="0027773D"/>
    <w:rsid w:val="002804B1"/>
    <w:rsid w:val="002808E7"/>
    <w:rsid w:val="0028165B"/>
    <w:rsid w:val="00281C39"/>
    <w:rsid w:val="002823DC"/>
    <w:rsid w:val="002823F9"/>
    <w:rsid w:val="002827F9"/>
    <w:rsid w:val="00282C6C"/>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1E0"/>
    <w:rsid w:val="0029132F"/>
    <w:rsid w:val="00291C2F"/>
    <w:rsid w:val="00291CEE"/>
    <w:rsid w:val="00292075"/>
    <w:rsid w:val="002926AE"/>
    <w:rsid w:val="00292743"/>
    <w:rsid w:val="0029297A"/>
    <w:rsid w:val="002929D4"/>
    <w:rsid w:val="00292E35"/>
    <w:rsid w:val="0029300F"/>
    <w:rsid w:val="00293341"/>
    <w:rsid w:val="0029371E"/>
    <w:rsid w:val="00294005"/>
    <w:rsid w:val="002940C9"/>
    <w:rsid w:val="0029435A"/>
    <w:rsid w:val="00294552"/>
    <w:rsid w:val="00294821"/>
    <w:rsid w:val="00295521"/>
    <w:rsid w:val="0029583E"/>
    <w:rsid w:val="002967FA"/>
    <w:rsid w:val="00296CF0"/>
    <w:rsid w:val="00296D1B"/>
    <w:rsid w:val="00297A30"/>
    <w:rsid w:val="002A0338"/>
    <w:rsid w:val="002A067B"/>
    <w:rsid w:val="002A098D"/>
    <w:rsid w:val="002A18B2"/>
    <w:rsid w:val="002A223B"/>
    <w:rsid w:val="002A2453"/>
    <w:rsid w:val="002A2705"/>
    <w:rsid w:val="002A27BC"/>
    <w:rsid w:val="002A3354"/>
    <w:rsid w:val="002A3777"/>
    <w:rsid w:val="002A3E44"/>
    <w:rsid w:val="002A4015"/>
    <w:rsid w:val="002A408C"/>
    <w:rsid w:val="002A4F60"/>
    <w:rsid w:val="002A51F0"/>
    <w:rsid w:val="002A5924"/>
    <w:rsid w:val="002A5C2A"/>
    <w:rsid w:val="002A6066"/>
    <w:rsid w:val="002A663A"/>
    <w:rsid w:val="002A747C"/>
    <w:rsid w:val="002A756B"/>
    <w:rsid w:val="002A776C"/>
    <w:rsid w:val="002A78DB"/>
    <w:rsid w:val="002A7C61"/>
    <w:rsid w:val="002B0808"/>
    <w:rsid w:val="002B0D74"/>
    <w:rsid w:val="002B1484"/>
    <w:rsid w:val="002B1936"/>
    <w:rsid w:val="002B1D30"/>
    <w:rsid w:val="002B1E4D"/>
    <w:rsid w:val="002B1F24"/>
    <w:rsid w:val="002B42FB"/>
    <w:rsid w:val="002B4DC6"/>
    <w:rsid w:val="002B4E49"/>
    <w:rsid w:val="002B4F64"/>
    <w:rsid w:val="002B52FF"/>
    <w:rsid w:val="002B540A"/>
    <w:rsid w:val="002B5672"/>
    <w:rsid w:val="002B56E4"/>
    <w:rsid w:val="002B5E72"/>
    <w:rsid w:val="002B61EE"/>
    <w:rsid w:val="002B6715"/>
    <w:rsid w:val="002B6D48"/>
    <w:rsid w:val="002B75F2"/>
    <w:rsid w:val="002C072D"/>
    <w:rsid w:val="002C10D4"/>
    <w:rsid w:val="002C1251"/>
    <w:rsid w:val="002C1636"/>
    <w:rsid w:val="002C16A0"/>
    <w:rsid w:val="002C2C6E"/>
    <w:rsid w:val="002C3520"/>
    <w:rsid w:val="002C3732"/>
    <w:rsid w:val="002C3A8E"/>
    <w:rsid w:val="002C48B1"/>
    <w:rsid w:val="002C4B55"/>
    <w:rsid w:val="002C5738"/>
    <w:rsid w:val="002C5889"/>
    <w:rsid w:val="002C59A5"/>
    <w:rsid w:val="002C5EA9"/>
    <w:rsid w:val="002C6710"/>
    <w:rsid w:val="002C6869"/>
    <w:rsid w:val="002C6CFE"/>
    <w:rsid w:val="002D046C"/>
    <w:rsid w:val="002D0781"/>
    <w:rsid w:val="002D1333"/>
    <w:rsid w:val="002D1AAA"/>
    <w:rsid w:val="002D2231"/>
    <w:rsid w:val="002D22B7"/>
    <w:rsid w:val="002D26D6"/>
    <w:rsid w:val="002D2888"/>
    <w:rsid w:val="002D2A11"/>
    <w:rsid w:val="002D2F93"/>
    <w:rsid w:val="002D30EE"/>
    <w:rsid w:val="002D35C9"/>
    <w:rsid w:val="002D402D"/>
    <w:rsid w:val="002D40E1"/>
    <w:rsid w:val="002D42D7"/>
    <w:rsid w:val="002D4382"/>
    <w:rsid w:val="002D4847"/>
    <w:rsid w:val="002D4E7A"/>
    <w:rsid w:val="002D4F0A"/>
    <w:rsid w:val="002D54B1"/>
    <w:rsid w:val="002D56A0"/>
    <w:rsid w:val="002D67B6"/>
    <w:rsid w:val="002D6D0B"/>
    <w:rsid w:val="002D6FC8"/>
    <w:rsid w:val="002D7284"/>
    <w:rsid w:val="002D78EE"/>
    <w:rsid w:val="002E0596"/>
    <w:rsid w:val="002E0B08"/>
    <w:rsid w:val="002E0BF9"/>
    <w:rsid w:val="002E19CC"/>
    <w:rsid w:val="002E1F2C"/>
    <w:rsid w:val="002E22B1"/>
    <w:rsid w:val="002E2EEF"/>
    <w:rsid w:val="002E304D"/>
    <w:rsid w:val="002E3A5D"/>
    <w:rsid w:val="002E444E"/>
    <w:rsid w:val="002E4654"/>
    <w:rsid w:val="002E46F0"/>
    <w:rsid w:val="002E4805"/>
    <w:rsid w:val="002E4886"/>
    <w:rsid w:val="002E48BC"/>
    <w:rsid w:val="002E5B14"/>
    <w:rsid w:val="002E5D37"/>
    <w:rsid w:val="002E7D80"/>
    <w:rsid w:val="002E7F19"/>
    <w:rsid w:val="002F12BD"/>
    <w:rsid w:val="002F1DE7"/>
    <w:rsid w:val="002F2144"/>
    <w:rsid w:val="002F2ACE"/>
    <w:rsid w:val="002F2D5A"/>
    <w:rsid w:val="002F2F11"/>
    <w:rsid w:val="002F46D8"/>
    <w:rsid w:val="002F47F7"/>
    <w:rsid w:val="002F52A0"/>
    <w:rsid w:val="002F56B3"/>
    <w:rsid w:val="002F5765"/>
    <w:rsid w:val="002F57B6"/>
    <w:rsid w:val="002F62D4"/>
    <w:rsid w:val="002F6966"/>
    <w:rsid w:val="002F6C2C"/>
    <w:rsid w:val="002F7457"/>
    <w:rsid w:val="0030014D"/>
    <w:rsid w:val="00300497"/>
    <w:rsid w:val="00301701"/>
    <w:rsid w:val="0030170F"/>
    <w:rsid w:val="00301906"/>
    <w:rsid w:val="003025BB"/>
    <w:rsid w:val="00302ED5"/>
    <w:rsid w:val="00303351"/>
    <w:rsid w:val="00303E39"/>
    <w:rsid w:val="00303FEC"/>
    <w:rsid w:val="003040C5"/>
    <w:rsid w:val="00304BBA"/>
    <w:rsid w:val="00304E96"/>
    <w:rsid w:val="00304FBA"/>
    <w:rsid w:val="00305411"/>
    <w:rsid w:val="0030552D"/>
    <w:rsid w:val="00305D54"/>
    <w:rsid w:val="0030617A"/>
    <w:rsid w:val="003066BB"/>
    <w:rsid w:val="0030697E"/>
    <w:rsid w:val="00306D61"/>
    <w:rsid w:val="00306F57"/>
    <w:rsid w:val="00306FEE"/>
    <w:rsid w:val="00307A46"/>
    <w:rsid w:val="00307A8A"/>
    <w:rsid w:val="00307C27"/>
    <w:rsid w:val="00307D82"/>
    <w:rsid w:val="003100C7"/>
    <w:rsid w:val="00310851"/>
    <w:rsid w:val="00310C99"/>
    <w:rsid w:val="00310FFB"/>
    <w:rsid w:val="003115FF"/>
    <w:rsid w:val="003117B6"/>
    <w:rsid w:val="003120D2"/>
    <w:rsid w:val="00312296"/>
    <w:rsid w:val="003127E9"/>
    <w:rsid w:val="00312AE2"/>
    <w:rsid w:val="00313048"/>
    <w:rsid w:val="003133D8"/>
    <w:rsid w:val="00313405"/>
    <w:rsid w:val="003136C8"/>
    <w:rsid w:val="00313D42"/>
    <w:rsid w:val="00313F78"/>
    <w:rsid w:val="00314547"/>
    <w:rsid w:val="00314CB7"/>
    <w:rsid w:val="003150D5"/>
    <w:rsid w:val="003154F4"/>
    <w:rsid w:val="003161F9"/>
    <w:rsid w:val="003164B1"/>
    <w:rsid w:val="00316DA7"/>
    <w:rsid w:val="0031779C"/>
    <w:rsid w:val="00317931"/>
    <w:rsid w:val="0032077C"/>
    <w:rsid w:val="003208DB"/>
    <w:rsid w:val="003215E5"/>
    <w:rsid w:val="00321A67"/>
    <w:rsid w:val="00321DB1"/>
    <w:rsid w:val="00321F45"/>
    <w:rsid w:val="00322309"/>
    <w:rsid w:val="00322356"/>
    <w:rsid w:val="003230F4"/>
    <w:rsid w:val="0032352B"/>
    <w:rsid w:val="003238ED"/>
    <w:rsid w:val="003239AE"/>
    <w:rsid w:val="00324C0B"/>
    <w:rsid w:val="00324F98"/>
    <w:rsid w:val="00326089"/>
    <w:rsid w:val="003266EA"/>
    <w:rsid w:val="00326E20"/>
    <w:rsid w:val="00327476"/>
    <w:rsid w:val="00327F15"/>
    <w:rsid w:val="00330716"/>
    <w:rsid w:val="00330CF0"/>
    <w:rsid w:val="00330E33"/>
    <w:rsid w:val="003318E3"/>
    <w:rsid w:val="00331FDD"/>
    <w:rsid w:val="00332474"/>
    <w:rsid w:val="00332878"/>
    <w:rsid w:val="00332A2C"/>
    <w:rsid w:val="00332CA3"/>
    <w:rsid w:val="00333029"/>
    <w:rsid w:val="003333B0"/>
    <w:rsid w:val="0033380A"/>
    <w:rsid w:val="00333FC8"/>
    <w:rsid w:val="003344E0"/>
    <w:rsid w:val="00334592"/>
    <w:rsid w:val="00334928"/>
    <w:rsid w:val="00334C36"/>
    <w:rsid w:val="00335003"/>
    <w:rsid w:val="003354F9"/>
    <w:rsid w:val="00335540"/>
    <w:rsid w:val="003358CA"/>
    <w:rsid w:val="00335C42"/>
    <w:rsid w:val="00335E3D"/>
    <w:rsid w:val="00335FF0"/>
    <w:rsid w:val="00336B37"/>
    <w:rsid w:val="00336FDB"/>
    <w:rsid w:val="00337669"/>
    <w:rsid w:val="00337C0E"/>
    <w:rsid w:val="00337C2A"/>
    <w:rsid w:val="00340999"/>
    <w:rsid w:val="00340D0F"/>
    <w:rsid w:val="003410FF"/>
    <w:rsid w:val="00341265"/>
    <w:rsid w:val="003416FE"/>
    <w:rsid w:val="00341BB3"/>
    <w:rsid w:val="00341D1D"/>
    <w:rsid w:val="003422D5"/>
    <w:rsid w:val="0034252F"/>
    <w:rsid w:val="00343EE6"/>
    <w:rsid w:val="00344824"/>
    <w:rsid w:val="00345638"/>
    <w:rsid w:val="0034573A"/>
    <w:rsid w:val="00345B54"/>
    <w:rsid w:val="003460FA"/>
    <w:rsid w:val="003466B2"/>
    <w:rsid w:val="00346B73"/>
    <w:rsid w:val="00346FED"/>
    <w:rsid w:val="00347625"/>
    <w:rsid w:val="00347CCB"/>
    <w:rsid w:val="0035007C"/>
    <w:rsid w:val="003501E1"/>
    <w:rsid w:val="00351659"/>
    <w:rsid w:val="00351B4A"/>
    <w:rsid w:val="00351CB7"/>
    <w:rsid w:val="00352119"/>
    <w:rsid w:val="003525DC"/>
    <w:rsid w:val="00352D3A"/>
    <w:rsid w:val="0035342F"/>
    <w:rsid w:val="0035372B"/>
    <w:rsid w:val="003542C0"/>
    <w:rsid w:val="00355789"/>
    <w:rsid w:val="00355AE0"/>
    <w:rsid w:val="0035676C"/>
    <w:rsid w:val="003574E6"/>
    <w:rsid w:val="003576F1"/>
    <w:rsid w:val="00357E61"/>
    <w:rsid w:val="00357FDD"/>
    <w:rsid w:val="003608B5"/>
    <w:rsid w:val="0036130F"/>
    <w:rsid w:val="00361586"/>
    <w:rsid w:val="003619C1"/>
    <w:rsid w:val="00362181"/>
    <w:rsid w:val="003624F4"/>
    <w:rsid w:val="00362D9E"/>
    <w:rsid w:val="003636C1"/>
    <w:rsid w:val="00363781"/>
    <w:rsid w:val="00363B5C"/>
    <w:rsid w:val="00363FA1"/>
    <w:rsid w:val="00364C6A"/>
    <w:rsid w:val="00365758"/>
    <w:rsid w:val="0036597A"/>
    <w:rsid w:val="00365986"/>
    <w:rsid w:val="00365D57"/>
    <w:rsid w:val="003669E9"/>
    <w:rsid w:val="00366DED"/>
    <w:rsid w:val="00366F22"/>
    <w:rsid w:val="003672F6"/>
    <w:rsid w:val="003673ED"/>
    <w:rsid w:val="00367F11"/>
    <w:rsid w:val="00367FBE"/>
    <w:rsid w:val="0037034B"/>
    <w:rsid w:val="003704D1"/>
    <w:rsid w:val="00370DA8"/>
    <w:rsid w:val="003712DD"/>
    <w:rsid w:val="00371326"/>
    <w:rsid w:val="00371333"/>
    <w:rsid w:val="00371ADB"/>
    <w:rsid w:val="003720CD"/>
    <w:rsid w:val="00372659"/>
    <w:rsid w:val="00372C6B"/>
    <w:rsid w:val="00372DA2"/>
    <w:rsid w:val="0037303D"/>
    <w:rsid w:val="003737C7"/>
    <w:rsid w:val="003738A1"/>
    <w:rsid w:val="00373B42"/>
    <w:rsid w:val="00373D8A"/>
    <w:rsid w:val="00373E6B"/>
    <w:rsid w:val="00374866"/>
    <w:rsid w:val="00374F66"/>
    <w:rsid w:val="003755DB"/>
    <w:rsid w:val="003758B9"/>
    <w:rsid w:val="00375E1A"/>
    <w:rsid w:val="00376382"/>
    <w:rsid w:val="003764B8"/>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839"/>
    <w:rsid w:val="0038185F"/>
    <w:rsid w:val="00381927"/>
    <w:rsid w:val="00381D5B"/>
    <w:rsid w:val="00381F30"/>
    <w:rsid w:val="00382C85"/>
    <w:rsid w:val="00382CBF"/>
    <w:rsid w:val="003834BA"/>
    <w:rsid w:val="00383578"/>
    <w:rsid w:val="00383815"/>
    <w:rsid w:val="00383F90"/>
    <w:rsid w:val="00384274"/>
    <w:rsid w:val="003845AD"/>
    <w:rsid w:val="00385C15"/>
    <w:rsid w:val="003863DE"/>
    <w:rsid w:val="003864C2"/>
    <w:rsid w:val="00386DE4"/>
    <w:rsid w:val="003871D5"/>
    <w:rsid w:val="00387A8D"/>
    <w:rsid w:val="00387B48"/>
    <w:rsid w:val="00387C2E"/>
    <w:rsid w:val="00387FB0"/>
    <w:rsid w:val="0039013C"/>
    <w:rsid w:val="00390BF4"/>
    <w:rsid w:val="00391FA1"/>
    <w:rsid w:val="003920CF"/>
    <w:rsid w:val="00392431"/>
    <w:rsid w:val="003927FC"/>
    <w:rsid w:val="00392C93"/>
    <w:rsid w:val="00392EAF"/>
    <w:rsid w:val="0039365D"/>
    <w:rsid w:val="003939AD"/>
    <w:rsid w:val="00393A79"/>
    <w:rsid w:val="00394816"/>
    <w:rsid w:val="00394D30"/>
    <w:rsid w:val="003951CE"/>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17D0"/>
    <w:rsid w:val="003A2C60"/>
    <w:rsid w:val="003A2F0C"/>
    <w:rsid w:val="003A3270"/>
    <w:rsid w:val="003A3A4E"/>
    <w:rsid w:val="003A3F01"/>
    <w:rsid w:val="003A418D"/>
    <w:rsid w:val="003A458F"/>
    <w:rsid w:val="003A5272"/>
    <w:rsid w:val="003A651D"/>
    <w:rsid w:val="003A6943"/>
    <w:rsid w:val="003A69EA"/>
    <w:rsid w:val="003A704B"/>
    <w:rsid w:val="003A748E"/>
    <w:rsid w:val="003A7BDA"/>
    <w:rsid w:val="003A7DAF"/>
    <w:rsid w:val="003B054D"/>
    <w:rsid w:val="003B05BE"/>
    <w:rsid w:val="003B0837"/>
    <w:rsid w:val="003B090C"/>
    <w:rsid w:val="003B0B7D"/>
    <w:rsid w:val="003B1169"/>
    <w:rsid w:val="003B13B6"/>
    <w:rsid w:val="003B1DF8"/>
    <w:rsid w:val="003B244C"/>
    <w:rsid w:val="003B26B4"/>
    <w:rsid w:val="003B2BFE"/>
    <w:rsid w:val="003B3334"/>
    <w:rsid w:val="003B3389"/>
    <w:rsid w:val="003B4431"/>
    <w:rsid w:val="003B4828"/>
    <w:rsid w:val="003B512E"/>
    <w:rsid w:val="003B5901"/>
    <w:rsid w:val="003B5E9F"/>
    <w:rsid w:val="003B5F51"/>
    <w:rsid w:val="003B62AC"/>
    <w:rsid w:val="003B6620"/>
    <w:rsid w:val="003B6BCE"/>
    <w:rsid w:val="003B6D26"/>
    <w:rsid w:val="003B7038"/>
    <w:rsid w:val="003C06AC"/>
    <w:rsid w:val="003C1D09"/>
    <w:rsid w:val="003C1D79"/>
    <w:rsid w:val="003C1E9D"/>
    <w:rsid w:val="003C23BD"/>
    <w:rsid w:val="003C25B1"/>
    <w:rsid w:val="003C29D3"/>
    <w:rsid w:val="003C29F9"/>
    <w:rsid w:val="003C2F03"/>
    <w:rsid w:val="003C41AA"/>
    <w:rsid w:val="003C47A9"/>
    <w:rsid w:val="003C4AC3"/>
    <w:rsid w:val="003C505A"/>
    <w:rsid w:val="003C595E"/>
    <w:rsid w:val="003C5A1C"/>
    <w:rsid w:val="003C5C19"/>
    <w:rsid w:val="003C5F0D"/>
    <w:rsid w:val="003C65D1"/>
    <w:rsid w:val="003C7510"/>
    <w:rsid w:val="003D00C8"/>
    <w:rsid w:val="003D0E32"/>
    <w:rsid w:val="003D128C"/>
    <w:rsid w:val="003D1571"/>
    <w:rsid w:val="003D16BA"/>
    <w:rsid w:val="003D178E"/>
    <w:rsid w:val="003D200A"/>
    <w:rsid w:val="003D2070"/>
    <w:rsid w:val="003D291B"/>
    <w:rsid w:val="003D2D50"/>
    <w:rsid w:val="003D3991"/>
    <w:rsid w:val="003D3B3E"/>
    <w:rsid w:val="003D3FF2"/>
    <w:rsid w:val="003D4132"/>
    <w:rsid w:val="003D4805"/>
    <w:rsid w:val="003D4DE0"/>
    <w:rsid w:val="003D5447"/>
    <w:rsid w:val="003D56C5"/>
    <w:rsid w:val="003D56CE"/>
    <w:rsid w:val="003D5704"/>
    <w:rsid w:val="003D585E"/>
    <w:rsid w:val="003D5A88"/>
    <w:rsid w:val="003D6FCA"/>
    <w:rsid w:val="003D722A"/>
    <w:rsid w:val="003D7F3F"/>
    <w:rsid w:val="003D7F53"/>
    <w:rsid w:val="003E0114"/>
    <w:rsid w:val="003E0667"/>
    <w:rsid w:val="003E0A34"/>
    <w:rsid w:val="003E150B"/>
    <w:rsid w:val="003E1885"/>
    <w:rsid w:val="003E2A38"/>
    <w:rsid w:val="003E3400"/>
    <w:rsid w:val="003E3F3D"/>
    <w:rsid w:val="003E4086"/>
    <w:rsid w:val="003E4A1A"/>
    <w:rsid w:val="003E4F67"/>
    <w:rsid w:val="003E520D"/>
    <w:rsid w:val="003E6674"/>
    <w:rsid w:val="003E69A5"/>
    <w:rsid w:val="003E6D40"/>
    <w:rsid w:val="003E7471"/>
    <w:rsid w:val="003E752F"/>
    <w:rsid w:val="003E7756"/>
    <w:rsid w:val="003E7839"/>
    <w:rsid w:val="003E7973"/>
    <w:rsid w:val="003E7D85"/>
    <w:rsid w:val="003F0D51"/>
    <w:rsid w:val="003F0E17"/>
    <w:rsid w:val="003F1B7D"/>
    <w:rsid w:val="003F1E6B"/>
    <w:rsid w:val="003F2201"/>
    <w:rsid w:val="003F28E6"/>
    <w:rsid w:val="003F2956"/>
    <w:rsid w:val="003F31C2"/>
    <w:rsid w:val="003F3363"/>
    <w:rsid w:val="003F354B"/>
    <w:rsid w:val="003F38C4"/>
    <w:rsid w:val="003F3D5B"/>
    <w:rsid w:val="003F3D69"/>
    <w:rsid w:val="003F4CE0"/>
    <w:rsid w:val="003F51A7"/>
    <w:rsid w:val="003F5432"/>
    <w:rsid w:val="003F60DF"/>
    <w:rsid w:val="003F6B06"/>
    <w:rsid w:val="003F6D91"/>
    <w:rsid w:val="003F6E3F"/>
    <w:rsid w:val="003F6FA1"/>
    <w:rsid w:val="003F7615"/>
    <w:rsid w:val="003F76F4"/>
    <w:rsid w:val="003F7D71"/>
    <w:rsid w:val="0040039E"/>
    <w:rsid w:val="0040040B"/>
    <w:rsid w:val="0040074D"/>
    <w:rsid w:val="00400CE4"/>
    <w:rsid w:val="00402227"/>
    <w:rsid w:val="004026E9"/>
    <w:rsid w:val="004028B7"/>
    <w:rsid w:val="00403D6F"/>
    <w:rsid w:val="00404016"/>
    <w:rsid w:val="00404763"/>
    <w:rsid w:val="00404786"/>
    <w:rsid w:val="00404E65"/>
    <w:rsid w:val="0040554C"/>
    <w:rsid w:val="00405E2C"/>
    <w:rsid w:val="00406154"/>
    <w:rsid w:val="0040682A"/>
    <w:rsid w:val="00406851"/>
    <w:rsid w:val="0040748F"/>
    <w:rsid w:val="00407B83"/>
    <w:rsid w:val="00410ED0"/>
    <w:rsid w:val="00411705"/>
    <w:rsid w:val="004118AA"/>
    <w:rsid w:val="004119E6"/>
    <w:rsid w:val="00411BF2"/>
    <w:rsid w:val="004120FF"/>
    <w:rsid w:val="004124DE"/>
    <w:rsid w:val="00412795"/>
    <w:rsid w:val="00413862"/>
    <w:rsid w:val="00413A2D"/>
    <w:rsid w:val="004145B8"/>
    <w:rsid w:val="004146D2"/>
    <w:rsid w:val="004147BA"/>
    <w:rsid w:val="00414B37"/>
    <w:rsid w:val="00414D11"/>
    <w:rsid w:val="0041557F"/>
    <w:rsid w:val="004155A9"/>
    <w:rsid w:val="004157BA"/>
    <w:rsid w:val="004159DF"/>
    <w:rsid w:val="00415BF3"/>
    <w:rsid w:val="00416407"/>
    <w:rsid w:val="00416F20"/>
    <w:rsid w:val="00417981"/>
    <w:rsid w:val="00417C90"/>
    <w:rsid w:val="00417E0F"/>
    <w:rsid w:val="00420307"/>
    <w:rsid w:val="00420778"/>
    <w:rsid w:val="0042092E"/>
    <w:rsid w:val="00420B71"/>
    <w:rsid w:val="00420E56"/>
    <w:rsid w:val="00420E9C"/>
    <w:rsid w:val="004218ED"/>
    <w:rsid w:val="004232A8"/>
    <w:rsid w:val="0042330B"/>
    <w:rsid w:val="0042438B"/>
    <w:rsid w:val="004249F2"/>
    <w:rsid w:val="00424A22"/>
    <w:rsid w:val="00424D97"/>
    <w:rsid w:val="00424DA4"/>
    <w:rsid w:val="0042522D"/>
    <w:rsid w:val="00425252"/>
    <w:rsid w:val="00425333"/>
    <w:rsid w:val="00425541"/>
    <w:rsid w:val="004261B4"/>
    <w:rsid w:val="004263FC"/>
    <w:rsid w:val="00426CD7"/>
    <w:rsid w:val="00426F4E"/>
    <w:rsid w:val="00427626"/>
    <w:rsid w:val="00427636"/>
    <w:rsid w:val="00430020"/>
    <w:rsid w:val="004301FA"/>
    <w:rsid w:val="004306E5"/>
    <w:rsid w:val="00430DB3"/>
    <w:rsid w:val="004314A9"/>
    <w:rsid w:val="00431A9C"/>
    <w:rsid w:val="004329F7"/>
    <w:rsid w:val="00432E63"/>
    <w:rsid w:val="00433865"/>
    <w:rsid w:val="00433AA5"/>
    <w:rsid w:val="00433C7C"/>
    <w:rsid w:val="00433EED"/>
    <w:rsid w:val="00433F12"/>
    <w:rsid w:val="0043464B"/>
    <w:rsid w:val="00434AE0"/>
    <w:rsid w:val="00434D4F"/>
    <w:rsid w:val="00434E1C"/>
    <w:rsid w:val="00435B0D"/>
    <w:rsid w:val="00435C27"/>
    <w:rsid w:val="00435D5B"/>
    <w:rsid w:val="004362F9"/>
    <w:rsid w:val="004364F9"/>
    <w:rsid w:val="00437010"/>
    <w:rsid w:val="00437112"/>
    <w:rsid w:val="00437BDA"/>
    <w:rsid w:val="00440443"/>
    <w:rsid w:val="004405E3"/>
    <w:rsid w:val="00440634"/>
    <w:rsid w:val="00440BD9"/>
    <w:rsid w:val="00441D1A"/>
    <w:rsid w:val="00442188"/>
    <w:rsid w:val="00442190"/>
    <w:rsid w:val="004427E3"/>
    <w:rsid w:val="00442802"/>
    <w:rsid w:val="00442BBE"/>
    <w:rsid w:val="00442BFC"/>
    <w:rsid w:val="00442D5D"/>
    <w:rsid w:val="004430FE"/>
    <w:rsid w:val="004435E6"/>
    <w:rsid w:val="00443608"/>
    <w:rsid w:val="0044384C"/>
    <w:rsid w:val="0044390A"/>
    <w:rsid w:val="00443A44"/>
    <w:rsid w:val="00443A6F"/>
    <w:rsid w:val="00444203"/>
    <w:rsid w:val="00444350"/>
    <w:rsid w:val="004444E5"/>
    <w:rsid w:val="00446EA7"/>
    <w:rsid w:val="00446FD6"/>
    <w:rsid w:val="0044741A"/>
    <w:rsid w:val="004476F1"/>
    <w:rsid w:val="004478A4"/>
    <w:rsid w:val="00447E6E"/>
    <w:rsid w:val="00450B2E"/>
    <w:rsid w:val="00450C94"/>
    <w:rsid w:val="00450E04"/>
    <w:rsid w:val="00451288"/>
    <w:rsid w:val="00451FA9"/>
    <w:rsid w:val="00452603"/>
    <w:rsid w:val="0045288E"/>
    <w:rsid w:val="004529F9"/>
    <w:rsid w:val="00452CCA"/>
    <w:rsid w:val="00452E29"/>
    <w:rsid w:val="00452EF3"/>
    <w:rsid w:val="004536F1"/>
    <w:rsid w:val="0045385C"/>
    <w:rsid w:val="00453FEF"/>
    <w:rsid w:val="0045425C"/>
    <w:rsid w:val="00454DAB"/>
    <w:rsid w:val="00454FE7"/>
    <w:rsid w:val="004551B4"/>
    <w:rsid w:val="00455474"/>
    <w:rsid w:val="00455856"/>
    <w:rsid w:val="00455FB5"/>
    <w:rsid w:val="00455FD5"/>
    <w:rsid w:val="0045626E"/>
    <w:rsid w:val="0045693C"/>
    <w:rsid w:val="004578BB"/>
    <w:rsid w:val="004601FF"/>
    <w:rsid w:val="004609AC"/>
    <w:rsid w:val="00461622"/>
    <w:rsid w:val="00461B88"/>
    <w:rsid w:val="00461C7D"/>
    <w:rsid w:val="00461C83"/>
    <w:rsid w:val="00461E13"/>
    <w:rsid w:val="00461FC6"/>
    <w:rsid w:val="004625A1"/>
    <w:rsid w:val="00462B0E"/>
    <w:rsid w:val="00463141"/>
    <w:rsid w:val="004635E8"/>
    <w:rsid w:val="00463915"/>
    <w:rsid w:val="00463DE6"/>
    <w:rsid w:val="0046449B"/>
    <w:rsid w:val="004645D6"/>
    <w:rsid w:val="00465D26"/>
    <w:rsid w:val="0046699B"/>
    <w:rsid w:val="00467358"/>
    <w:rsid w:val="004675D6"/>
    <w:rsid w:val="004675EE"/>
    <w:rsid w:val="004700A1"/>
    <w:rsid w:val="00470133"/>
    <w:rsid w:val="004709D9"/>
    <w:rsid w:val="004709F7"/>
    <w:rsid w:val="00470A58"/>
    <w:rsid w:val="004711E8"/>
    <w:rsid w:val="004713C6"/>
    <w:rsid w:val="004718B7"/>
    <w:rsid w:val="00471A35"/>
    <w:rsid w:val="00471CBB"/>
    <w:rsid w:val="004722AD"/>
    <w:rsid w:val="00473119"/>
    <w:rsid w:val="00473AE2"/>
    <w:rsid w:val="00474E77"/>
    <w:rsid w:val="0047570B"/>
    <w:rsid w:val="00475731"/>
    <w:rsid w:val="00475B38"/>
    <w:rsid w:val="00475DBF"/>
    <w:rsid w:val="00475E3B"/>
    <w:rsid w:val="00476485"/>
    <w:rsid w:val="00476672"/>
    <w:rsid w:val="004768E3"/>
    <w:rsid w:val="00476B32"/>
    <w:rsid w:val="00476C10"/>
    <w:rsid w:val="00476ED3"/>
    <w:rsid w:val="004771E5"/>
    <w:rsid w:val="004774AF"/>
    <w:rsid w:val="00477C6F"/>
    <w:rsid w:val="00477FC1"/>
    <w:rsid w:val="00480047"/>
    <w:rsid w:val="00480400"/>
    <w:rsid w:val="004816FC"/>
    <w:rsid w:val="004832DA"/>
    <w:rsid w:val="00483381"/>
    <w:rsid w:val="004834FB"/>
    <w:rsid w:val="00483698"/>
    <w:rsid w:val="00483723"/>
    <w:rsid w:val="00483F29"/>
    <w:rsid w:val="00483FB6"/>
    <w:rsid w:val="0048430F"/>
    <w:rsid w:val="00484815"/>
    <w:rsid w:val="0048485C"/>
    <w:rsid w:val="00484EA6"/>
    <w:rsid w:val="004857D8"/>
    <w:rsid w:val="00485C8C"/>
    <w:rsid w:val="00486279"/>
    <w:rsid w:val="00486CDE"/>
    <w:rsid w:val="00486D50"/>
    <w:rsid w:val="00486EFA"/>
    <w:rsid w:val="004874B8"/>
    <w:rsid w:val="00490311"/>
    <w:rsid w:val="0049051F"/>
    <w:rsid w:val="00490C58"/>
    <w:rsid w:val="00490C94"/>
    <w:rsid w:val="00491D04"/>
    <w:rsid w:val="00491D6B"/>
    <w:rsid w:val="00493445"/>
    <w:rsid w:val="004942F6"/>
    <w:rsid w:val="004943E3"/>
    <w:rsid w:val="004948ED"/>
    <w:rsid w:val="004956DF"/>
    <w:rsid w:val="00495BDD"/>
    <w:rsid w:val="0049631D"/>
    <w:rsid w:val="00496459"/>
    <w:rsid w:val="004966F1"/>
    <w:rsid w:val="00496AAD"/>
    <w:rsid w:val="00496DDD"/>
    <w:rsid w:val="00497548"/>
    <w:rsid w:val="00497C4C"/>
    <w:rsid w:val="004A01CB"/>
    <w:rsid w:val="004A01E1"/>
    <w:rsid w:val="004A049F"/>
    <w:rsid w:val="004A0A25"/>
    <w:rsid w:val="004A10C7"/>
    <w:rsid w:val="004A1653"/>
    <w:rsid w:val="004A18E9"/>
    <w:rsid w:val="004A1B1A"/>
    <w:rsid w:val="004A336B"/>
    <w:rsid w:val="004A33AC"/>
    <w:rsid w:val="004A37C2"/>
    <w:rsid w:val="004A4884"/>
    <w:rsid w:val="004A4914"/>
    <w:rsid w:val="004A4CC4"/>
    <w:rsid w:val="004A5389"/>
    <w:rsid w:val="004A57EA"/>
    <w:rsid w:val="004A5A42"/>
    <w:rsid w:val="004A5B9B"/>
    <w:rsid w:val="004A656C"/>
    <w:rsid w:val="004A66BB"/>
    <w:rsid w:val="004A749F"/>
    <w:rsid w:val="004A7B9F"/>
    <w:rsid w:val="004A7CE8"/>
    <w:rsid w:val="004A7ED4"/>
    <w:rsid w:val="004B04DE"/>
    <w:rsid w:val="004B09F9"/>
    <w:rsid w:val="004B0CE2"/>
    <w:rsid w:val="004B10B6"/>
    <w:rsid w:val="004B180B"/>
    <w:rsid w:val="004B3418"/>
    <w:rsid w:val="004B3531"/>
    <w:rsid w:val="004B387E"/>
    <w:rsid w:val="004B39AE"/>
    <w:rsid w:val="004B3AE4"/>
    <w:rsid w:val="004B40C1"/>
    <w:rsid w:val="004B4210"/>
    <w:rsid w:val="004B426E"/>
    <w:rsid w:val="004B4DE6"/>
    <w:rsid w:val="004B4E2C"/>
    <w:rsid w:val="004B5138"/>
    <w:rsid w:val="004B5739"/>
    <w:rsid w:val="004B5921"/>
    <w:rsid w:val="004B5987"/>
    <w:rsid w:val="004B5F4A"/>
    <w:rsid w:val="004B601B"/>
    <w:rsid w:val="004B6430"/>
    <w:rsid w:val="004B648F"/>
    <w:rsid w:val="004B64F7"/>
    <w:rsid w:val="004B673E"/>
    <w:rsid w:val="004B70AD"/>
    <w:rsid w:val="004B78DB"/>
    <w:rsid w:val="004B7E73"/>
    <w:rsid w:val="004B7EDA"/>
    <w:rsid w:val="004C0456"/>
    <w:rsid w:val="004C0F93"/>
    <w:rsid w:val="004C1320"/>
    <w:rsid w:val="004C1D94"/>
    <w:rsid w:val="004C20D2"/>
    <w:rsid w:val="004C22A2"/>
    <w:rsid w:val="004C2438"/>
    <w:rsid w:val="004C2EC9"/>
    <w:rsid w:val="004C32EA"/>
    <w:rsid w:val="004C36FE"/>
    <w:rsid w:val="004C3808"/>
    <w:rsid w:val="004C3E53"/>
    <w:rsid w:val="004C42FF"/>
    <w:rsid w:val="004C4BB4"/>
    <w:rsid w:val="004C5279"/>
    <w:rsid w:val="004C535C"/>
    <w:rsid w:val="004C5400"/>
    <w:rsid w:val="004C5420"/>
    <w:rsid w:val="004C55E9"/>
    <w:rsid w:val="004C58CE"/>
    <w:rsid w:val="004C5947"/>
    <w:rsid w:val="004C6402"/>
    <w:rsid w:val="004C651C"/>
    <w:rsid w:val="004C6BB1"/>
    <w:rsid w:val="004C708C"/>
    <w:rsid w:val="004C7747"/>
    <w:rsid w:val="004C7922"/>
    <w:rsid w:val="004D0A60"/>
    <w:rsid w:val="004D0BAB"/>
    <w:rsid w:val="004D0CD4"/>
    <w:rsid w:val="004D1255"/>
    <w:rsid w:val="004D2154"/>
    <w:rsid w:val="004D22EF"/>
    <w:rsid w:val="004D2657"/>
    <w:rsid w:val="004D2B50"/>
    <w:rsid w:val="004D414C"/>
    <w:rsid w:val="004D4975"/>
    <w:rsid w:val="004D4F24"/>
    <w:rsid w:val="004D57AE"/>
    <w:rsid w:val="004D6D78"/>
    <w:rsid w:val="004D702C"/>
    <w:rsid w:val="004D7184"/>
    <w:rsid w:val="004D7655"/>
    <w:rsid w:val="004D7C66"/>
    <w:rsid w:val="004D7C8E"/>
    <w:rsid w:val="004D7D50"/>
    <w:rsid w:val="004E012E"/>
    <w:rsid w:val="004E0421"/>
    <w:rsid w:val="004E0942"/>
    <w:rsid w:val="004E1319"/>
    <w:rsid w:val="004E153F"/>
    <w:rsid w:val="004E1B5C"/>
    <w:rsid w:val="004E1D29"/>
    <w:rsid w:val="004E2AD3"/>
    <w:rsid w:val="004E32F8"/>
    <w:rsid w:val="004E35F1"/>
    <w:rsid w:val="004E4352"/>
    <w:rsid w:val="004E4947"/>
    <w:rsid w:val="004E4948"/>
    <w:rsid w:val="004E5278"/>
    <w:rsid w:val="004E53A1"/>
    <w:rsid w:val="004E5BD6"/>
    <w:rsid w:val="004E621F"/>
    <w:rsid w:val="004E692D"/>
    <w:rsid w:val="004E6B06"/>
    <w:rsid w:val="004E6B1F"/>
    <w:rsid w:val="004E711E"/>
    <w:rsid w:val="004E7206"/>
    <w:rsid w:val="004E7236"/>
    <w:rsid w:val="004E7B57"/>
    <w:rsid w:val="004F0EAD"/>
    <w:rsid w:val="004F169F"/>
    <w:rsid w:val="004F2820"/>
    <w:rsid w:val="004F2949"/>
    <w:rsid w:val="004F2B68"/>
    <w:rsid w:val="004F3615"/>
    <w:rsid w:val="004F379C"/>
    <w:rsid w:val="004F3963"/>
    <w:rsid w:val="004F3B7C"/>
    <w:rsid w:val="004F3D41"/>
    <w:rsid w:val="004F3D5E"/>
    <w:rsid w:val="004F44BF"/>
    <w:rsid w:val="004F44E4"/>
    <w:rsid w:val="004F46B7"/>
    <w:rsid w:val="004F4A54"/>
    <w:rsid w:val="004F4E66"/>
    <w:rsid w:val="004F56DC"/>
    <w:rsid w:val="004F5971"/>
    <w:rsid w:val="004F5A43"/>
    <w:rsid w:val="004F5A9E"/>
    <w:rsid w:val="004F5C63"/>
    <w:rsid w:val="004F5DFF"/>
    <w:rsid w:val="004F6076"/>
    <w:rsid w:val="004F640E"/>
    <w:rsid w:val="004F70E9"/>
    <w:rsid w:val="004F75F5"/>
    <w:rsid w:val="0050007E"/>
    <w:rsid w:val="00500FA9"/>
    <w:rsid w:val="005013F0"/>
    <w:rsid w:val="00501560"/>
    <w:rsid w:val="00501ADA"/>
    <w:rsid w:val="00501BD5"/>
    <w:rsid w:val="00501C7C"/>
    <w:rsid w:val="00501E14"/>
    <w:rsid w:val="00502363"/>
    <w:rsid w:val="005023FE"/>
    <w:rsid w:val="00502463"/>
    <w:rsid w:val="00502539"/>
    <w:rsid w:val="0050284F"/>
    <w:rsid w:val="0050478B"/>
    <w:rsid w:val="0050530A"/>
    <w:rsid w:val="00506926"/>
    <w:rsid w:val="00506BB3"/>
    <w:rsid w:val="00506D87"/>
    <w:rsid w:val="00506FEE"/>
    <w:rsid w:val="005105AD"/>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DE3"/>
    <w:rsid w:val="00513F3A"/>
    <w:rsid w:val="0051469E"/>
    <w:rsid w:val="005152DA"/>
    <w:rsid w:val="0051537D"/>
    <w:rsid w:val="005157BF"/>
    <w:rsid w:val="0051628D"/>
    <w:rsid w:val="0051697F"/>
    <w:rsid w:val="00517119"/>
    <w:rsid w:val="00517171"/>
    <w:rsid w:val="00517781"/>
    <w:rsid w:val="00517904"/>
    <w:rsid w:val="0052017C"/>
    <w:rsid w:val="00520A23"/>
    <w:rsid w:val="00520FDD"/>
    <w:rsid w:val="00521ACB"/>
    <w:rsid w:val="0052233A"/>
    <w:rsid w:val="00522E05"/>
    <w:rsid w:val="00523F3A"/>
    <w:rsid w:val="0052464A"/>
    <w:rsid w:val="00524BE7"/>
    <w:rsid w:val="005251B0"/>
    <w:rsid w:val="00525461"/>
    <w:rsid w:val="0052583D"/>
    <w:rsid w:val="0052670D"/>
    <w:rsid w:val="00526AFD"/>
    <w:rsid w:val="00526C68"/>
    <w:rsid w:val="005272E9"/>
    <w:rsid w:val="005276CE"/>
    <w:rsid w:val="005279CE"/>
    <w:rsid w:val="00527E49"/>
    <w:rsid w:val="00527FAE"/>
    <w:rsid w:val="00530B84"/>
    <w:rsid w:val="0053168C"/>
    <w:rsid w:val="00531A0F"/>
    <w:rsid w:val="00531FF5"/>
    <w:rsid w:val="00532644"/>
    <w:rsid w:val="00532749"/>
    <w:rsid w:val="00532A8D"/>
    <w:rsid w:val="00532F52"/>
    <w:rsid w:val="0053324C"/>
    <w:rsid w:val="00533B25"/>
    <w:rsid w:val="00533FE9"/>
    <w:rsid w:val="005340A6"/>
    <w:rsid w:val="00534129"/>
    <w:rsid w:val="005345D6"/>
    <w:rsid w:val="00534649"/>
    <w:rsid w:val="005349C0"/>
    <w:rsid w:val="0053630B"/>
    <w:rsid w:val="0053666F"/>
    <w:rsid w:val="00536784"/>
    <w:rsid w:val="005369D7"/>
    <w:rsid w:val="00536F7F"/>
    <w:rsid w:val="00537453"/>
    <w:rsid w:val="005374A7"/>
    <w:rsid w:val="00537EF2"/>
    <w:rsid w:val="00540104"/>
    <w:rsid w:val="005405CB"/>
    <w:rsid w:val="00540608"/>
    <w:rsid w:val="00541120"/>
    <w:rsid w:val="00541CEF"/>
    <w:rsid w:val="00541EA7"/>
    <w:rsid w:val="00543D43"/>
    <w:rsid w:val="00543D9E"/>
    <w:rsid w:val="0054488E"/>
    <w:rsid w:val="00544CEC"/>
    <w:rsid w:val="0054568E"/>
    <w:rsid w:val="0054573F"/>
    <w:rsid w:val="00545A8E"/>
    <w:rsid w:val="00545AEB"/>
    <w:rsid w:val="00545BC7"/>
    <w:rsid w:val="00546348"/>
    <w:rsid w:val="00546538"/>
    <w:rsid w:val="00546955"/>
    <w:rsid w:val="00546DAC"/>
    <w:rsid w:val="005471D4"/>
    <w:rsid w:val="00547427"/>
    <w:rsid w:val="0055014B"/>
    <w:rsid w:val="0055064D"/>
    <w:rsid w:val="005509F2"/>
    <w:rsid w:val="00550CA1"/>
    <w:rsid w:val="00551460"/>
    <w:rsid w:val="00551EB7"/>
    <w:rsid w:val="00552A5B"/>
    <w:rsid w:val="00552AAE"/>
    <w:rsid w:val="00552C16"/>
    <w:rsid w:val="00552E7F"/>
    <w:rsid w:val="00553190"/>
    <w:rsid w:val="005538F4"/>
    <w:rsid w:val="00554109"/>
    <w:rsid w:val="005541D6"/>
    <w:rsid w:val="005545B5"/>
    <w:rsid w:val="00554763"/>
    <w:rsid w:val="005548C7"/>
    <w:rsid w:val="005548F4"/>
    <w:rsid w:val="0055499A"/>
    <w:rsid w:val="00554D9F"/>
    <w:rsid w:val="00555403"/>
    <w:rsid w:val="005556BB"/>
    <w:rsid w:val="0055608B"/>
    <w:rsid w:val="0055621B"/>
    <w:rsid w:val="00556877"/>
    <w:rsid w:val="00556EAA"/>
    <w:rsid w:val="005572F1"/>
    <w:rsid w:val="0055748E"/>
    <w:rsid w:val="00557932"/>
    <w:rsid w:val="00561EB1"/>
    <w:rsid w:val="00562646"/>
    <w:rsid w:val="005627F5"/>
    <w:rsid w:val="005638F1"/>
    <w:rsid w:val="005638F4"/>
    <w:rsid w:val="00564C8C"/>
    <w:rsid w:val="0056555F"/>
    <w:rsid w:val="00565BCC"/>
    <w:rsid w:val="00565C10"/>
    <w:rsid w:val="00566406"/>
    <w:rsid w:val="005670F0"/>
    <w:rsid w:val="00567BE1"/>
    <w:rsid w:val="00567E8B"/>
    <w:rsid w:val="0057017E"/>
    <w:rsid w:val="0057029F"/>
    <w:rsid w:val="0057050B"/>
    <w:rsid w:val="0057075F"/>
    <w:rsid w:val="00570B20"/>
    <w:rsid w:val="00570CEA"/>
    <w:rsid w:val="00570D67"/>
    <w:rsid w:val="00571209"/>
    <w:rsid w:val="0057192A"/>
    <w:rsid w:val="00572299"/>
    <w:rsid w:val="0057263D"/>
    <w:rsid w:val="0057266E"/>
    <w:rsid w:val="0057286E"/>
    <w:rsid w:val="00572F9E"/>
    <w:rsid w:val="005735A2"/>
    <w:rsid w:val="0057415B"/>
    <w:rsid w:val="00574F86"/>
    <w:rsid w:val="00575211"/>
    <w:rsid w:val="005754F7"/>
    <w:rsid w:val="005755A4"/>
    <w:rsid w:val="00576361"/>
    <w:rsid w:val="00576671"/>
    <w:rsid w:val="00576779"/>
    <w:rsid w:val="00576C60"/>
    <w:rsid w:val="00576EBA"/>
    <w:rsid w:val="00577B87"/>
    <w:rsid w:val="005807A3"/>
    <w:rsid w:val="00580A95"/>
    <w:rsid w:val="00580B52"/>
    <w:rsid w:val="00580F8B"/>
    <w:rsid w:val="00581336"/>
    <w:rsid w:val="005821EC"/>
    <w:rsid w:val="00582325"/>
    <w:rsid w:val="00582666"/>
    <w:rsid w:val="00582B31"/>
    <w:rsid w:val="005830ED"/>
    <w:rsid w:val="0058322E"/>
    <w:rsid w:val="00583AF2"/>
    <w:rsid w:val="00583C8B"/>
    <w:rsid w:val="00583E0E"/>
    <w:rsid w:val="00584E18"/>
    <w:rsid w:val="005850B6"/>
    <w:rsid w:val="005850EB"/>
    <w:rsid w:val="005863E4"/>
    <w:rsid w:val="005868F2"/>
    <w:rsid w:val="00586D0D"/>
    <w:rsid w:val="00586D3E"/>
    <w:rsid w:val="00586E79"/>
    <w:rsid w:val="00587D9A"/>
    <w:rsid w:val="00587E43"/>
    <w:rsid w:val="00590751"/>
    <w:rsid w:val="00590F3F"/>
    <w:rsid w:val="005915C3"/>
    <w:rsid w:val="0059195B"/>
    <w:rsid w:val="00591962"/>
    <w:rsid w:val="00591CFB"/>
    <w:rsid w:val="005927ED"/>
    <w:rsid w:val="005928B8"/>
    <w:rsid w:val="005930E4"/>
    <w:rsid w:val="005938E1"/>
    <w:rsid w:val="00593D34"/>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A0352"/>
    <w:rsid w:val="005A05D6"/>
    <w:rsid w:val="005A0AFA"/>
    <w:rsid w:val="005A16FF"/>
    <w:rsid w:val="005A18CD"/>
    <w:rsid w:val="005A194B"/>
    <w:rsid w:val="005A291E"/>
    <w:rsid w:val="005A2D51"/>
    <w:rsid w:val="005A3143"/>
    <w:rsid w:val="005A33A6"/>
    <w:rsid w:val="005A3515"/>
    <w:rsid w:val="005A37EB"/>
    <w:rsid w:val="005A3B4A"/>
    <w:rsid w:val="005A3F44"/>
    <w:rsid w:val="005A49E2"/>
    <w:rsid w:val="005A4DA5"/>
    <w:rsid w:val="005A5ED3"/>
    <w:rsid w:val="005A650A"/>
    <w:rsid w:val="005A68D1"/>
    <w:rsid w:val="005A7230"/>
    <w:rsid w:val="005A76E2"/>
    <w:rsid w:val="005B03E7"/>
    <w:rsid w:val="005B0861"/>
    <w:rsid w:val="005B0ADD"/>
    <w:rsid w:val="005B0F35"/>
    <w:rsid w:val="005B14D4"/>
    <w:rsid w:val="005B15CD"/>
    <w:rsid w:val="005B1B9A"/>
    <w:rsid w:val="005B1BDC"/>
    <w:rsid w:val="005B1C64"/>
    <w:rsid w:val="005B2255"/>
    <w:rsid w:val="005B228E"/>
    <w:rsid w:val="005B317F"/>
    <w:rsid w:val="005B3345"/>
    <w:rsid w:val="005B349A"/>
    <w:rsid w:val="005B372B"/>
    <w:rsid w:val="005B3F03"/>
    <w:rsid w:val="005B3FA0"/>
    <w:rsid w:val="005B4077"/>
    <w:rsid w:val="005B45AC"/>
    <w:rsid w:val="005B47FA"/>
    <w:rsid w:val="005B4B57"/>
    <w:rsid w:val="005B4C70"/>
    <w:rsid w:val="005B4E85"/>
    <w:rsid w:val="005B5299"/>
    <w:rsid w:val="005B55AB"/>
    <w:rsid w:val="005B560F"/>
    <w:rsid w:val="005B5E02"/>
    <w:rsid w:val="005B62C6"/>
    <w:rsid w:val="005B6902"/>
    <w:rsid w:val="005B6932"/>
    <w:rsid w:val="005B74F4"/>
    <w:rsid w:val="005B775B"/>
    <w:rsid w:val="005B7F60"/>
    <w:rsid w:val="005B7FBC"/>
    <w:rsid w:val="005C0204"/>
    <w:rsid w:val="005C06E3"/>
    <w:rsid w:val="005C0C86"/>
    <w:rsid w:val="005C0CDC"/>
    <w:rsid w:val="005C0CE4"/>
    <w:rsid w:val="005C0D53"/>
    <w:rsid w:val="005C1E5E"/>
    <w:rsid w:val="005C1EF8"/>
    <w:rsid w:val="005C2616"/>
    <w:rsid w:val="005C26B7"/>
    <w:rsid w:val="005C2F75"/>
    <w:rsid w:val="005C3500"/>
    <w:rsid w:val="005C35C1"/>
    <w:rsid w:val="005C3992"/>
    <w:rsid w:val="005C415A"/>
    <w:rsid w:val="005C420D"/>
    <w:rsid w:val="005C4433"/>
    <w:rsid w:val="005C4544"/>
    <w:rsid w:val="005C486F"/>
    <w:rsid w:val="005C49FC"/>
    <w:rsid w:val="005C4C70"/>
    <w:rsid w:val="005C4F21"/>
    <w:rsid w:val="005C5932"/>
    <w:rsid w:val="005C5BB2"/>
    <w:rsid w:val="005C5D7B"/>
    <w:rsid w:val="005C63AF"/>
    <w:rsid w:val="005C65A4"/>
    <w:rsid w:val="005C65E4"/>
    <w:rsid w:val="005C70CD"/>
    <w:rsid w:val="005C7166"/>
    <w:rsid w:val="005C76EC"/>
    <w:rsid w:val="005D025A"/>
    <w:rsid w:val="005D08F6"/>
    <w:rsid w:val="005D1109"/>
    <w:rsid w:val="005D1B85"/>
    <w:rsid w:val="005D1F30"/>
    <w:rsid w:val="005D22BF"/>
    <w:rsid w:val="005D25F8"/>
    <w:rsid w:val="005D29CD"/>
    <w:rsid w:val="005D29F1"/>
    <w:rsid w:val="005D3A6D"/>
    <w:rsid w:val="005D4D9B"/>
    <w:rsid w:val="005D64B8"/>
    <w:rsid w:val="005D678B"/>
    <w:rsid w:val="005D68CA"/>
    <w:rsid w:val="005D68FC"/>
    <w:rsid w:val="005D6D40"/>
    <w:rsid w:val="005D6E73"/>
    <w:rsid w:val="005D7255"/>
    <w:rsid w:val="005D725F"/>
    <w:rsid w:val="005E118C"/>
    <w:rsid w:val="005E15A6"/>
    <w:rsid w:val="005E1849"/>
    <w:rsid w:val="005E2348"/>
    <w:rsid w:val="005E3041"/>
    <w:rsid w:val="005E330A"/>
    <w:rsid w:val="005E34EA"/>
    <w:rsid w:val="005E357A"/>
    <w:rsid w:val="005E3E7A"/>
    <w:rsid w:val="005E4C65"/>
    <w:rsid w:val="005E51F1"/>
    <w:rsid w:val="005E52E5"/>
    <w:rsid w:val="005E551F"/>
    <w:rsid w:val="005E554B"/>
    <w:rsid w:val="005E5702"/>
    <w:rsid w:val="005E57E9"/>
    <w:rsid w:val="005E5918"/>
    <w:rsid w:val="005E5C98"/>
    <w:rsid w:val="005E5E32"/>
    <w:rsid w:val="005E5E87"/>
    <w:rsid w:val="005E6476"/>
    <w:rsid w:val="005E69F8"/>
    <w:rsid w:val="005E7035"/>
    <w:rsid w:val="005E7123"/>
    <w:rsid w:val="005E71CB"/>
    <w:rsid w:val="005F0D0A"/>
    <w:rsid w:val="005F118D"/>
    <w:rsid w:val="005F1951"/>
    <w:rsid w:val="005F1BD5"/>
    <w:rsid w:val="005F1E07"/>
    <w:rsid w:val="005F1F10"/>
    <w:rsid w:val="005F2198"/>
    <w:rsid w:val="005F273B"/>
    <w:rsid w:val="005F2C06"/>
    <w:rsid w:val="005F3208"/>
    <w:rsid w:val="005F3722"/>
    <w:rsid w:val="005F4445"/>
    <w:rsid w:val="005F495C"/>
    <w:rsid w:val="005F58A7"/>
    <w:rsid w:val="005F5C05"/>
    <w:rsid w:val="005F65FD"/>
    <w:rsid w:val="005F6681"/>
    <w:rsid w:val="005F66EC"/>
    <w:rsid w:val="005F6778"/>
    <w:rsid w:val="005F6F4C"/>
    <w:rsid w:val="005F6FE9"/>
    <w:rsid w:val="005F7492"/>
    <w:rsid w:val="005F74E1"/>
    <w:rsid w:val="005F765D"/>
    <w:rsid w:val="005F7797"/>
    <w:rsid w:val="005F7B79"/>
    <w:rsid w:val="005F7FFC"/>
    <w:rsid w:val="00600074"/>
    <w:rsid w:val="00600527"/>
    <w:rsid w:val="00600717"/>
    <w:rsid w:val="00600B20"/>
    <w:rsid w:val="00600C36"/>
    <w:rsid w:val="00602F77"/>
    <w:rsid w:val="006031D6"/>
    <w:rsid w:val="00603FA9"/>
    <w:rsid w:val="0060423A"/>
    <w:rsid w:val="00604A23"/>
    <w:rsid w:val="00604FFB"/>
    <w:rsid w:val="00605363"/>
    <w:rsid w:val="00606551"/>
    <w:rsid w:val="006067AF"/>
    <w:rsid w:val="006067CD"/>
    <w:rsid w:val="00606E67"/>
    <w:rsid w:val="00606E6F"/>
    <w:rsid w:val="00607264"/>
    <w:rsid w:val="00610269"/>
    <w:rsid w:val="006104BC"/>
    <w:rsid w:val="00610617"/>
    <w:rsid w:val="00610779"/>
    <w:rsid w:val="006112BB"/>
    <w:rsid w:val="00611597"/>
    <w:rsid w:val="00611887"/>
    <w:rsid w:val="00611DE7"/>
    <w:rsid w:val="00612412"/>
    <w:rsid w:val="00612C5F"/>
    <w:rsid w:val="00613524"/>
    <w:rsid w:val="006136F6"/>
    <w:rsid w:val="00613790"/>
    <w:rsid w:val="00613B44"/>
    <w:rsid w:val="00613FE3"/>
    <w:rsid w:val="006142F0"/>
    <w:rsid w:val="0061497F"/>
    <w:rsid w:val="00614BEC"/>
    <w:rsid w:val="00614D42"/>
    <w:rsid w:val="00614F37"/>
    <w:rsid w:val="00614F43"/>
    <w:rsid w:val="00615C37"/>
    <w:rsid w:val="00616140"/>
    <w:rsid w:val="0061619E"/>
    <w:rsid w:val="00616F9B"/>
    <w:rsid w:val="00616FF8"/>
    <w:rsid w:val="00617011"/>
    <w:rsid w:val="00617338"/>
    <w:rsid w:val="0061740A"/>
    <w:rsid w:val="00617F89"/>
    <w:rsid w:val="006208ED"/>
    <w:rsid w:val="00620A3C"/>
    <w:rsid w:val="00620D1E"/>
    <w:rsid w:val="006215A7"/>
    <w:rsid w:val="00621691"/>
    <w:rsid w:val="00621839"/>
    <w:rsid w:val="00622452"/>
    <w:rsid w:val="00622651"/>
    <w:rsid w:val="006226DE"/>
    <w:rsid w:val="00622904"/>
    <w:rsid w:val="00622B44"/>
    <w:rsid w:val="00622BFF"/>
    <w:rsid w:val="00622C83"/>
    <w:rsid w:val="006231F9"/>
    <w:rsid w:val="0062408C"/>
    <w:rsid w:val="00624DE2"/>
    <w:rsid w:val="00625930"/>
    <w:rsid w:val="00625A2D"/>
    <w:rsid w:val="006263BF"/>
    <w:rsid w:val="00626AE6"/>
    <w:rsid w:val="0062782F"/>
    <w:rsid w:val="00630007"/>
    <w:rsid w:val="006303C4"/>
    <w:rsid w:val="006305E9"/>
    <w:rsid w:val="00630BD2"/>
    <w:rsid w:val="00631025"/>
    <w:rsid w:val="006310B4"/>
    <w:rsid w:val="006312C8"/>
    <w:rsid w:val="0063146F"/>
    <w:rsid w:val="00631CC6"/>
    <w:rsid w:val="00632A91"/>
    <w:rsid w:val="00633755"/>
    <w:rsid w:val="0063389B"/>
    <w:rsid w:val="00633C65"/>
    <w:rsid w:val="00633DB1"/>
    <w:rsid w:val="00633ECA"/>
    <w:rsid w:val="006343AD"/>
    <w:rsid w:val="006345AC"/>
    <w:rsid w:val="00634679"/>
    <w:rsid w:val="0063486E"/>
    <w:rsid w:val="006348E8"/>
    <w:rsid w:val="00634CB6"/>
    <w:rsid w:val="0063513C"/>
    <w:rsid w:val="006351DB"/>
    <w:rsid w:val="0063559E"/>
    <w:rsid w:val="00635D2F"/>
    <w:rsid w:val="00635D6A"/>
    <w:rsid w:val="006367C1"/>
    <w:rsid w:val="00636E95"/>
    <w:rsid w:val="006378D7"/>
    <w:rsid w:val="00637FB0"/>
    <w:rsid w:val="006400D9"/>
    <w:rsid w:val="0064026E"/>
    <w:rsid w:val="006402BB"/>
    <w:rsid w:val="00640844"/>
    <w:rsid w:val="00640A45"/>
    <w:rsid w:val="00640DE6"/>
    <w:rsid w:val="006419BE"/>
    <w:rsid w:val="00641C97"/>
    <w:rsid w:val="0064208B"/>
    <w:rsid w:val="00642D13"/>
    <w:rsid w:val="0064344F"/>
    <w:rsid w:val="00644652"/>
    <w:rsid w:val="00644CED"/>
    <w:rsid w:val="0064540E"/>
    <w:rsid w:val="006455EA"/>
    <w:rsid w:val="006457A3"/>
    <w:rsid w:val="00646890"/>
    <w:rsid w:val="00646904"/>
    <w:rsid w:val="006469B2"/>
    <w:rsid w:val="00647A95"/>
    <w:rsid w:val="00647A97"/>
    <w:rsid w:val="00647B4E"/>
    <w:rsid w:val="00647C4C"/>
    <w:rsid w:val="00647C9E"/>
    <w:rsid w:val="00647FA5"/>
    <w:rsid w:val="006501F3"/>
    <w:rsid w:val="00650607"/>
    <w:rsid w:val="00650A9C"/>
    <w:rsid w:val="00651492"/>
    <w:rsid w:val="006516E7"/>
    <w:rsid w:val="00651797"/>
    <w:rsid w:val="00651FCF"/>
    <w:rsid w:val="00652454"/>
    <w:rsid w:val="006524D9"/>
    <w:rsid w:val="00652862"/>
    <w:rsid w:val="006528A9"/>
    <w:rsid w:val="006529B3"/>
    <w:rsid w:val="00653654"/>
    <w:rsid w:val="00653C4B"/>
    <w:rsid w:val="006541CC"/>
    <w:rsid w:val="00654A43"/>
    <w:rsid w:val="00654E72"/>
    <w:rsid w:val="0065558A"/>
    <w:rsid w:val="00655CF3"/>
    <w:rsid w:val="006567A5"/>
    <w:rsid w:val="00656C19"/>
    <w:rsid w:val="00656C77"/>
    <w:rsid w:val="00657202"/>
    <w:rsid w:val="006578D2"/>
    <w:rsid w:val="0065794D"/>
    <w:rsid w:val="00657951"/>
    <w:rsid w:val="0065796F"/>
    <w:rsid w:val="00657A49"/>
    <w:rsid w:val="00660113"/>
    <w:rsid w:val="006605F5"/>
    <w:rsid w:val="00660621"/>
    <w:rsid w:val="00660C29"/>
    <w:rsid w:val="00661063"/>
    <w:rsid w:val="006615DD"/>
    <w:rsid w:val="006618CA"/>
    <w:rsid w:val="00661B1A"/>
    <w:rsid w:val="0066214D"/>
    <w:rsid w:val="00662418"/>
    <w:rsid w:val="00662497"/>
    <w:rsid w:val="006631CA"/>
    <w:rsid w:val="00663349"/>
    <w:rsid w:val="00663B85"/>
    <w:rsid w:val="00663D2E"/>
    <w:rsid w:val="00664196"/>
    <w:rsid w:val="00664B1D"/>
    <w:rsid w:val="00664E32"/>
    <w:rsid w:val="00664EA5"/>
    <w:rsid w:val="00664FF2"/>
    <w:rsid w:val="00665AD7"/>
    <w:rsid w:val="00665CB7"/>
    <w:rsid w:val="006667EA"/>
    <w:rsid w:val="006669F9"/>
    <w:rsid w:val="00666B51"/>
    <w:rsid w:val="00666E51"/>
    <w:rsid w:val="006670E5"/>
    <w:rsid w:val="0066751E"/>
    <w:rsid w:val="00667787"/>
    <w:rsid w:val="0066778E"/>
    <w:rsid w:val="006678C9"/>
    <w:rsid w:val="00667BB6"/>
    <w:rsid w:val="00670099"/>
    <w:rsid w:val="006707EC"/>
    <w:rsid w:val="006709EF"/>
    <w:rsid w:val="0067140D"/>
    <w:rsid w:val="00671873"/>
    <w:rsid w:val="00671D95"/>
    <w:rsid w:val="006720C8"/>
    <w:rsid w:val="00672937"/>
    <w:rsid w:val="00672E41"/>
    <w:rsid w:val="00673482"/>
    <w:rsid w:val="006739AA"/>
    <w:rsid w:val="00673E26"/>
    <w:rsid w:val="0067415B"/>
    <w:rsid w:val="00675053"/>
    <w:rsid w:val="006756BF"/>
    <w:rsid w:val="006756D4"/>
    <w:rsid w:val="00676530"/>
    <w:rsid w:val="00677F00"/>
    <w:rsid w:val="006802F0"/>
    <w:rsid w:val="00680696"/>
    <w:rsid w:val="00680B04"/>
    <w:rsid w:val="00680D1D"/>
    <w:rsid w:val="006811EF"/>
    <w:rsid w:val="00681344"/>
    <w:rsid w:val="0068161C"/>
    <w:rsid w:val="00681C1E"/>
    <w:rsid w:val="00681E47"/>
    <w:rsid w:val="00682C3F"/>
    <w:rsid w:val="0068370D"/>
    <w:rsid w:val="00683902"/>
    <w:rsid w:val="00683B0A"/>
    <w:rsid w:val="00683B76"/>
    <w:rsid w:val="0068418F"/>
    <w:rsid w:val="00684AE5"/>
    <w:rsid w:val="0068526B"/>
    <w:rsid w:val="00685B94"/>
    <w:rsid w:val="00685EFF"/>
    <w:rsid w:val="006865B8"/>
    <w:rsid w:val="0068676D"/>
    <w:rsid w:val="00686F28"/>
    <w:rsid w:val="00687E6B"/>
    <w:rsid w:val="006904AD"/>
    <w:rsid w:val="0069093F"/>
    <w:rsid w:val="00690F04"/>
    <w:rsid w:val="00691100"/>
    <w:rsid w:val="006923D3"/>
    <w:rsid w:val="0069246F"/>
    <w:rsid w:val="00692B9C"/>
    <w:rsid w:val="00693151"/>
    <w:rsid w:val="00693ABB"/>
    <w:rsid w:val="00693B14"/>
    <w:rsid w:val="00694470"/>
    <w:rsid w:val="006945C2"/>
    <w:rsid w:val="00694D7D"/>
    <w:rsid w:val="006957CE"/>
    <w:rsid w:val="00695ABB"/>
    <w:rsid w:val="00696004"/>
    <w:rsid w:val="00696659"/>
    <w:rsid w:val="006968F8"/>
    <w:rsid w:val="00696AC9"/>
    <w:rsid w:val="00697089"/>
    <w:rsid w:val="0069762B"/>
    <w:rsid w:val="006976F6"/>
    <w:rsid w:val="00697EA7"/>
    <w:rsid w:val="006A0929"/>
    <w:rsid w:val="006A1060"/>
    <w:rsid w:val="006A1BA1"/>
    <w:rsid w:val="006A1BB5"/>
    <w:rsid w:val="006A1C35"/>
    <w:rsid w:val="006A21F3"/>
    <w:rsid w:val="006A2954"/>
    <w:rsid w:val="006A3359"/>
    <w:rsid w:val="006A35E8"/>
    <w:rsid w:val="006A364D"/>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2A0"/>
    <w:rsid w:val="006B037F"/>
    <w:rsid w:val="006B05C9"/>
    <w:rsid w:val="006B0734"/>
    <w:rsid w:val="006B0BC9"/>
    <w:rsid w:val="006B106F"/>
    <w:rsid w:val="006B1579"/>
    <w:rsid w:val="006B188B"/>
    <w:rsid w:val="006B1AF7"/>
    <w:rsid w:val="006B1BE4"/>
    <w:rsid w:val="006B1CEE"/>
    <w:rsid w:val="006B1DDA"/>
    <w:rsid w:val="006B22E3"/>
    <w:rsid w:val="006B2566"/>
    <w:rsid w:val="006B34CA"/>
    <w:rsid w:val="006B3770"/>
    <w:rsid w:val="006B3E57"/>
    <w:rsid w:val="006B470D"/>
    <w:rsid w:val="006B4876"/>
    <w:rsid w:val="006B5170"/>
    <w:rsid w:val="006B59FE"/>
    <w:rsid w:val="006B5D7F"/>
    <w:rsid w:val="006B6A5C"/>
    <w:rsid w:val="006B783D"/>
    <w:rsid w:val="006B79CE"/>
    <w:rsid w:val="006B7D16"/>
    <w:rsid w:val="006B7EA8"/>
    <w:rsid w:val="006C001B"/>
    <w:rsid w:val="006C008C"/>
    <w:rsid w:val="006C03B2"/>
    <w:rsid w:val="006C0807"/>
    <w:rsid w:val="006C088E"/>
    <w:rsid w:val="006C09DA"/>
    <w:rsid w:val="006C0C8A"/>
    <w:rsid w:val="006C0F56"/>
    <w:rsid w:val="006C143B"/>
    <w:rsid w:val="006C1A86"/>
    <w:rsid w:val="006C243C"/>
    <w:rsid w:val="006C2736"/>
    <w:rsid w:val="006C2BAE"/>
    <w:rsid w:val="006C2CD1"/>
    <w:rsid w:val="006C3415"/>
    <w:rsid w:val="006C4341"/>
    <w:rsid w:val="006C49C3"/>
    <w:rsid w:val="006C4ADD"/>
    <w:rsid w:val="006C5F68"/>
    <w:rsid w:val="006C6110"/>
    <w:rsid w:val="006C66EB"/>
    <w:rsid w:val="006C6963"/>
    <w:rsid w:val="006C702F"/>
    <w:rsid w:val="006C7F1F"/>
    <w:rsid w:val="006D003F"/>
    <w:rsid w:val="006D0047"/>
    <w:rsid w:val="006D0056"/>
    <w:rsid w:val="006D04D6"/>
    <w:rsid w:val="006D0E5E"/>
    <w:rsid w:val="006D0EDB"/>
    <w:rsid w:val="006D1011"/>
    <w:rsid w:val="006D104A"/>
    <w:rsid w:val="006D10F0"/>
    <w:rsid w:val="006D1A8E"/>
    <w:rsid w:val="006D1D27"/>
    <w:rsid w:val="006D2A4C"/>
    <w:rsid w:val="006D2DB7"/>
    <w:rsid w:val="006D323A"/>
    <w:rsid w:val="006D3A3E"/>
    <w:rsid w:val="006D3F8A"/>
    <w:rsid w:val="006D459A"/>
    <w:rsid w:val="006D4E86"/>
    <w:rsid w:val="006D5351"/>
    <w:rsid w:val="006D5DA0"/>
    <w:rsid w:val="006D5E0F"/>
    <w:rsid w:val="006D621C"/>
    <w:rsid w:val="006D6AFB"/>
    <w:rsid w:val="006D6BD6"/>
    <w:rsid w:val="006D7754"/>
    <w:rsid w:val="006E038F"/>
    <w:rsid w:val="006E0DA4"/>
    <w:rsid w:val="006E166F"/>
    <w:rsid w:val="006E16EC"/>
    <w:rsid w:val="006E17D8"/>
    <w:rsid w:val="006E1802"/>
    <w:rsid w:val="006E181F"/>
    <w:rsid w:val="006E1C20"/>
    <w:rsid w:val="006E23A0"/>
    <w:rsid w:val="006E29B6"/>
    <w:rsid w:val="006E30C0"/>
    <w:rsid w:val="006E3413"/>
    <w:rsid w:val="006E34AD"/>
    <w:rsid w:val="006E34F9"/>
    <w:rsid w:val="006E368A"/>
    <w:rsid w:val="006E46B7"/>
    <w:rsid w:val="006E4BE2"/>
    <w:rsid w:val="006E4D68"/>
    <w:rsid w:val="006E518C"/>
    <w:rsid w:val="006E5459"/>
    <w:rsid w:val="006E5532"/>
    <w:rsid w:val="006E61B4"/>
    <w:rsid w:val="006E6556"/>
    <w:rsid w:val="006E6601"/>
    <w:rsid w:val="006E6F27"/>
    <w:rsid w:val="006E7062"/>
    <w:rsid w:val="006E7241"/>
    <w:rsid w:val="006E7935"/>
    <w:rsid w:val="006F0244"/>
    <w:rsid w:val="006F1135"/>
    <w:rsid w:val="006F1D77"/>
    <w:rsid w:val="006F1DCF"/>
    <w:rsid w:val="006F27DD"/>
    <w:rsid w:val="006F34CF"/>
    <w:rsid w:val="006F3890"/>
    <w:rsid w:val="006F41AF"/>
    <w:rsid w:val="006F4411"/>
    <w:rsid w:val="006F44C9"/>
    <w:rsid w:val="006F47DD"/>
    <w:rsid w:val="006F4F78"/>
    <w:rsid w:val="006F5044"/>
    <w:rsid w:val="006F5125"/>
    <w:rsid w:val="006F51C8"/>
    <w:rsid w:val="006F572D"/>
    <w:rsid w:val="006F5911"/>
    <w:rsid w:val="006F6004"/>
    <w:rsid w:val="006F6415"/>
    <w:rsid w:val="006F6453"/>
    <w:rsid w:val="006F6654"/>
    <w:rsid w:val="006F6F46"/>
    <w:rsid w:val="006F7CDF"/>
    <w:rsid w:val="006F7D88"/>
    <w:rsid w:val="006F7E98"/>
    <w:rsid w:val="00700E1D"/>
    <w:rsid w:val="00700F1D"/>
    <w:rsid w:val="00701418"/>
    <w:rsid w:val="007018EA"/>
    <w:rsid w:val="00701AE5"/>
    <w:rsid w:val="00701CEE"/>
    <w:rsid w:val="00701E17"/>
    <w:rsid w:val="00702836"/>
    <w:rsid w:val="00703333"/>
    <w:rsid w:val="007037EE"/>
    <w:rsid w:val="00703D71"/>
    <w:rsid w:val="00704BC9"/>
    <w:rsid w:val="007056EC"/>
    <w:rsid w:val="0070580F"/>
    <w:rsid w:val="00705D8D"/>
    <w:rsid w:val="00705D8E"/>
    <w:rsid w:val="00706969"/>
    <w:rsid w:val="00706B82"/>
    <w:rsid w:val="00706BD9"/>
    <w:rsid w:val="0070728B"/>
    <w:rsid w:val="007072A9"/>
    <w:rsid w:val="0070734F"/>
    <w:rsid w:val="00707403"/>
    <w:rsid w:val="007075B8"/>
    <w:rsid w:val="0070771E"/>
    <w:rsid w:val="007077C1"/>
    <w:rsid w:val="007078CE"/>
    <w:rsid w:val="007101F8"/>
    <w:rsid w:val="00710470"/>
    <w:rsid w:val="00710767"/>
    <w:rsid w:val="00710E07"/>
    <w:rsid w:val="007111E5"/>
    <w:rsid w:val="00711350"/>
    <w:rsid w:val="00711480"/>
    <w:rsid w:val="00711780"/>
    <w:rsid w:val="00712262"/>
    <w:rsid w:val="00712310"/>
    <w:rsid w:val="00712A6E"/>
    <w:rsid w:val="00712FF2"/>
    <w:rsid w:val="0071314E"/>
    <w:rsid w:val="0071322F"/>
    <w:rsid w:val="007134A1"/>
    <w:rsid w:val="00713ECA"/>
    <w:rsid w:val="00714398"/>
    <w:rsid w:val="00714CF9"/>
    <w:rsid w:val="00714CFC"/>
    <w:rsid w:val="007152DE"/>
    <w:rsid w:val="0071547C"/>
    <w:rsid w:val="00715498"/>
    <w:rsid w:val="0071588E"/>
    <w:rsid w:val="00715BAB"/>
    <w:rsid w:val="00715D92"/>
    <w:rsid w:val="00716947"/>
    <w:rsid w:val="00716E24"/>
    <w:rsid w:val="00720149"/>
    <w:rsid w:val="00720202"/>
    <w:rsid w:val="00720688"/>
    <w:rsid w:val="00720813"/>
    <w:rsid w:val="0072096E"/>
    <w:rsid w:val="00720C51"/>
    <w:rsid w:val="00721C6E"/>
    <w:rsid w:val="00721CCE"/>
    <w:rsid w:val="00721F9C"/>
    <w:rsid w:val="00722627"/>
    <w:rsid w:val="007230F5"/>
    <w:rsid w:val="00723F0B"/>
    <w:rsid w:val="00723F7A"/>
    <w:rsid w:val="007240F7"/>
    <w:rsid w:val="0072416D"/>
    <w:rsid w:val="007241D3"/>
    <w:rsid w:val="00724AE7"/>
    <w:rsid w:val="00724D5B"/>
    <w:rsid w:val="00725277"/>
    <w:rsid w:val="0072568A"/>
    <w:rsid w:val="007256D9"/>
    <w:rsid w:val="00725C47"/>
    <w:rsid w:val="0072611E"/>
    <w:rsid w:val="00726533"/>
    <w:rsid w:val="0072665A"/>
    <w:rsid w:val="0072682F"/>
    <w:rsid w:val="007273F7"/>
    <w:rsid w:val="00727FA2"/>
    <w:rsid w:val="00730B3D"/>
    <w:rsid w:val="00730C1A"/>
    <w:rsid w:val="00730C84"/>
    <w:rsid w:val="00730EA3"/>
    <w:rsid w:val="00731A16"/>
    <w:rsid w:val="007327AC"/>
    <w:rsid w:val="00732A55"/>
    <w:rsid w:val="00733555"/>
    <w:rsid w:val="007335BF"/>
    <w:rsid w:val="00733AF8"/>
    <w:rsid w:val="00733D21"/>
    <w:rsid w:val="00734135"/>
    <w:rsid w:val="00734B4A"/>
    <w:rsid w:val="007350C0"/>
    <w:rsid w:val="007353EB"/>
    <w:rsid w:val="007355B8"/>
    <w:rsid w:val="007356B4"/>
    <w:rsid w:val="00735B3E"/>
    <w:rsid w:val="00736588"/>
    <w:rsid w:val="007378A4"/>
    <w:rsid w:val="00740315"/>
    <w:rsid w:val="00740457"/>
    <w:rsid w:val="0074089A"/>
    <w:rsid w:val="007411B4"/>
    <w:rsid w:val="00741D7E"/>
    <w:rsid w:val="00741DB8"/>
    <w:rsid w:val="00742064"/>
    <w:rsid w:val="00742196"/>
    <w:rsid w:val="007422FD"/>
    <w:rsid w:val="007423DC"/>
    <w:rsid w:val="00742495"/>
    <w:rsid w:val="00742D5C"/>
    <w:rsid w:val="0074339D"/>
    <w:rsid w:val="00743AC1"/>
    <w:rsid w:val="00743C7E"/>
    <w:rsid w:val="00743E17"/>
    <w:rsid w:val="0074422B"/>
    <w:rsid w:val="0074443D"/>
    <w:rsid w:val="00744503"/>
    <w:rsid w:val="00744E9D"/>
    <w:rsid w:val="00744EAA"/>
    <w:rsid w:val="0074511A"/>
    <w:rsid w:val="00745995"/>
    <w:rsid w:val="00745CCB"/>
    <w:rsid w:val="0074798B"/>
    <w:rsid w:val="00747EDF"/>
    <w:rsid w:val="0075010B"/>
    <w:rsid w:val="00750768"/>
    <w:rsid w:val="0075095E"/>
    <w:rsid w:val="00750A42"/>
    <w:rsid w:val="00750BFF"/>
    <w:rsid w:val="00751ED0"/>
    <w:rsid w:val="00751F07"/>
    <w:rsid w:val="007521B5"/>
    <w:rsid w:val="00752887"/>
    <w:rsid w:val="00753BFF"/>
    <w:rsid w:val="00753C6A"/>
    <w:rsid w:val="00754116"/>
    <w:rsid w:val="00754498"/>
    <w:rsid w:val="00754EC2"/>
    <w:rsid w:val="00754FEC"/>
    <w:rsid w:val="007554CD"/>
    <w:rsid w:val="00755FD2"/>
    <w:rsid w:val="00756195"/>
    <w:rsid w:val="0075644E"/>
    <w:rsid w:val="00756973"/>
    <w:rsid w:val="00756A5F"/>
    <w:rsid w:val="00756CD0"/>
    <w:rsid w:val="00756F32"/>
    <w:rsid w:val="00757572"/>
    <w:rsid w:val="00760236"/>
    <w:rsid w:val="00760A64"/>
    <w:rsid w:val="007619CB"/>
    <w:rsid w:val="007619D3"/>
    <w:rsid w:val="00762120"/>
    <w:rsid w:val="00762715"/>
    <w:rsid w:val="007628D2"/>
    <w:rsid w:val="00763630"/>
    <w:rsid w:val="00763995"/>
    <w:rsid w:val="00764859"/>
    <w:rsid w:val="00764F72"/>
    <w:rsid w:val="007653E9"/>
    <w:rsid w:val="007656FF"/>
    <w:rsid w:val="00765BA2"/>
    <w:rsid w:val="00766723"/>
    <w:rsid w:val="00766847"/>
    <w:rsid w:val="0076730B"/>
    <w:rsid w:val="007674F0"/>
    <w:rsid w:val="00770086"/>
    <w:rsid w:val="007706F8"/>
    <w:rsid w:val="00771C27"/>
    <w:rsid w:val="00771DE6"/>
    <w:rsid w:val="00772300"/>
    <w:rsid w:val="00773192"/>
    <w:rsid w:val="007734C6"/>
    <w:rsid w:val="007734CA"/>
    <w:rsid w:val="007744C9"/>
    <w:rsid w:val="007745CC"/>
    <w:rsid w:val="007748EB"/>
    <w:rsid w:val="007751E0"/>
    <w:rsid w:val="0077531D"/>
    <w:rsid w:val="00775CDD"/>
    <w:rsid w:val="00776606"/>
    <w:rsid w:val="0077707C"/>
    <w:rsid w:val="0077731A"/>
    <w:rsid w:val="007778D9"/>
    <w:rsid w:val="00777E65"/>
    <w:rsid w:val="00777E9F"/>
    <w:rsid w:val="00777FC0"/>
    <w:rsid w:val="007800FC"/>
    <w:rsid w:val="007801B0"/>
    <w:rsid w:val="007801C5"/>
    <w:rsid w:val="0078028B"/>
    <w:rsid w:val="00780A0E"/>
    <w:rsid w:val="00780F97"/>
    <w:rsid w:val="00780FD0"/>
    <w:rsid w:val="00781043"/>
    <w:rsid w:val="00781229"/>
    <w:rsid w:val="0078180C"/>
    <w:rsid w:val="0078198F"/>
    <w:rsid w:val="00782180"/>
    <w:rsid w:val="00782537"/>
    <w:rsid w:val="00782703"/>
    <w:rsid w:val="00783237"/>
    <w:rsid w:val="00783A7D"/>
    <w:rsid w:val="00783A99"/>
    <w:rsid w:val="007841CA"/>
    <w:rsid w:val="00784957"/>
    <w:rsid w:val="00785168"/>
    <w:rsid w:val="007852E6"/>
    <w:rsid w:val="00785A03"/>
    <w:rsid w:val="00786178"/>
    <w:rsid w:val="007861AD"/>
    <w:rsid w:val="00786516"/>
    <w:rsid w:val="00786927"/>
    <w:rsid w:val="00786BAD"/>
    <w:rsid w:val="00787689"/>
    <w:rsid w:val="00787CB7"/>
    <w:rsid w:val="00787EB7"/>
    <w:rsid w:val="0079040C"/>
    <w:rsid w:val="00790925"/>
    <w:rsid w:val="007918CB"/>
    <w:rsid w:val="00791DE6"/>
    <w:rsid w:val="00792B47"/>
    <w:rsid w:val="00792C01"/>
    <w:rsid w:val="00792D3B"/>
    <w:rsid w:val="00793495"/>
    <w:rsid w:val="00793A52"/>
    <w:rsid w:val="00793BCD"/>
    <w:rsid w:val="007940FE"/>
    <w:rsid w:val="00794572"/>
    <w:rsid w:val="00794F0B"/>
    <w:rsid w:val="00794FB4"/>
    <w:rsid w:val="00795218"/>
    <w:rsid w:val="00795AB1"/>
    <w:rsid w:val="00795C2A"/>
    <w:rsid w:val="00795C80"/>
    <w:rsid w:val="00795D9A"/>
    <w:rsid w:val="00795F2E"/>
    <w:rsid w:val="0079685F"/>
    <w:rsid w:val="00796893"/>
    <w:rsid w:val="00797019"/>
    <w:rsid w:val="0079785B"/>
    <w:rsid w:val="007A01A8"/>
    <w:rsid w:val="007A0526"/>
    <w:rsid w:val="007A146E"/>
    <w:rsid w:val="007A178B"/>
    <w:rsid w:val="007A249E"/>
    <w:rsid w:val="007A29AB"/>
    <w:rsid w:val="007A2FDF"/>
    <w:rsid w:val="007A40C1"/>
    <w:rsid w:val="007A4CC0"/>
    <w:rsid w:val="007A4DC9"/>
    <w:rsid w:val="007A4F82"/>
    <w:rsid w:val="007A52E1"/>
    <w:rsid w:val="007A56A0"/>
    <w:rsid w:val="007A5785"/>
    <w:rsid w:val="007A5882"/>
    <w:rsid w:val="007A5B13"/>
    <w:rsid w:val="007A5DBA"/>
    <w:rsid w:val="007A60F7"/>
    <w:rsid w:val="007A6320"/>
    <w:rsid w:val="007A6C15"/>
    <w:rsid w:val="007A6CBF"/>
    <w:rsid w:val="007A72B4"/>
    <w:rsid w:val="007A7A6E"/>
    <w:rsid w:val="007A7B9E"/>
    <w:rsid w:val="007A7F13"/>
    <w:rsid w:val="007A7F2A"/>
    <w:rsid w:val="007A7F31"/>
    <w:rsid w:val="007B08A4"/>
    <w:rsid w:val="007B09FA"/>
    <w:rsid w:val="007B0D60"/>
    <w:rsid w:val="007B1A9E"/>
    <w:rsid w:val="007B1FD7"/>
    <w:rsid w:val="007B224B"/>
    <w:rsid w:val="007B236A"/>
    <w:rsid w:val="007B2547"/>
    <w:rsid w:val="007B263E"/>
    <w:rsid w:val="007B284C"/>
    <w:rsid w:val="007B3386"/>
    <w:rsid w:val="007B458C"/>
    <w:rsid w:val="007B4682"/>
    <w:rsid w:val="007B4A71"/>
    <w:rsid w:val="007B5686"/>
    <w:rsid w:val="007B611C"/>
    <w:rsid w:val="007B69CC"/>
    <w:rsid w:val="007B7784"/>
    <w:rsid w:val="007B7889"/>
    <w:rsid w:val="007B78F3"/>
    <w:rsid w:val="007C0190"/>
    <w:rsid w:val="007C0652"/>
    <w:rsid w:val="007C07F1"/>
    <w:rsid w:val="007C0DAF"/>
    <w:rsid w:val="007C1621"/>
    <w:rsid w:val="007C168B"/>
    <w:rsid w:val="007C16F4"/>
    <w:rsid w:val="007C1A39"/>
    <w:rsid w:val="007C1BFB"/>
    <w:rsid w:val="007C20FE"/>
    <w:rsid w:val="007C248C"/>
    <w:rsid w:val="007C2A38"/>
    <w:rsid w:val="007C4379"/>
    <w:rsid w:val="007C4A64"/>
    <w:rsid w:val="007C4A6C"/>
    <w:rsid w:val="007C4CD9"/>
    <w:rsid w:val="007C620E"/>
    <w:rsid w:val="007C649D"/>
    <w:rsid w:val="007C6927"/>
    <w:rsid w:val="007C6AA0"/>
    <w:rsid w:val="007C6B75"/>
    <w:rsid w:val="007C6BB3"/>
    <w:rsid w:val="007C74AC"/>
    <w:rsid w:val="007C74BA"/>
    <w:rsid w:val="007C74DD"/>
    <w:rsid w:val="007C7A6E"/>
    <w:rsid w:val="007D0921"/>
    <w:rsid w:val="007D18DE"/>
    <w:rsid w:val="007D1BE0"/>
    <w:rsid w:val="007D1C90"/>
    <w:rsid w:val="007D1D70"/>
    <w:rsid w:val="007D1F33"/>
    <w:rsid w:val="007D20AF"/>
    <w:rsid w:val="007D216F"/>
    <w:rsid w:val="007D2835"/>
    <w:rsid w:val="007D2D87"/>
    <w:rsid w:val="007D31EB"/>
    <w:rsid w:val="007D42FE"/>
    <w:rsid w:val="007D4867"/>
    <w:rsid w:val="007D5F5E"/>
    <w:rsid w:val="007D6108"/>
    <w:rsid w:val="007D618D"/>
    <w:rsid w:val="007D6CAB"/>
    <w:rsid w:val="007D6D18"/>
    <w:rsid w:val="007D74DE"/>
    <w:rsid w:val="007D7A9D"/>
    <w:rsid w:val="007D7BA6"/>
    <w:rsid w:val="007D7C69"/>
    <w:rsid w:val="007E0F40"/>
    <w:rsid w:val="007E1055"/>
    <w:rsid w:val="007E1461"/>
    <w:rsid w:val="007E1C1E"/>
    <w:rsid w:val="007E2271"/>
    <w:rsid w:val="007E243B"/>
    <w:rsid w:val="007E2CDB"/>
    <w:rsid w:val="007E3723"/>
    <w:rsid w:val="007E38F8"/>
    <w:rsid w:val="007E40CC"/>
    <w:rsid w:val="007E4483"/>
    <w:rsid w:val="007E4878"/>
    <w:rsid w:val="007E4FDB"/>
    <w:rsid w:val="007E6052"/>
    <w:rsid w:val="007E61F4"/>
    <w:rsid w:val="007E63ED"/>
    <w:rsid w:val="007E6942"/>
    <w:rsid w:val="007E6A5D"/>
    <w:rsid w:val="007E7240"/>
    <w:rsid w:val="007E75F7"/>
    <w:rsid w:val="007F005E"/>
    <w:rsid w:val="007F0AC3"/>
    <w:rsid w:val="007F0BD6"/>
    <w:rsid w:val="007F0D5E"/>
    <w:rsid w:val="007F10E4"/>
    <w:rsid w:val="007F17B3"/>
    <w:rsid w:val="007F1B0D"/>
    <w:rsid w:val="007F239C"/>
    <w:rsid w:val="007F24C8"/>
    <w:rsid w:val="007F29AA"/>
    <w:rsid w:val="007F2E74"/>
    <w:rsid w:val="007F36DF"/>
    <w:rsid w:val="007F44F5"/>
    <w:rsid w:val="007F4890"/>
    <w:rsid w:val="007F4B92"/>
    <w:rsid w:val="007F511D"/>
    <w:rsid w:val="007F5B03"/>
    <w:rsid w:val="007F5E83"/>
    <w:rsid w:val="007F615B"/>
    <w:rsid w:val="007F6DF4"/>
    <w:rsid w:val="007F6DF5"/>
    <w:rsid w:val="0080034D"/>
    <w:rsid w:val="008005FC"/>
    <w:rsid w:val="008011FC"/>
    <w:rsid w:val="008023E3"/>
    <w:rsid w:val="00802449"/>
    <w:rsid w:val="0080306A"/>
    <w:rsid w:val="00803205"/>
    <w:rsid w:val="0080343B"/>
    <w:rsid w:val="00803718"/>
    <w:rsid w:val="008039F6"/>
    <w:rsid w:val="00803A3E"/>
    <w:rsid w:val="00803CF2"/>
    <w:rsid w:val="00803D06"/>
    <w:rsid w:val="0080598C"/>
    <w:rsid w:val="00806198"/>
    <w:rsid w:val="008062E8"/>
    <w:rsid w:val="00806D87"/>
    <w:rsid w:val="0080779A"/>
    <w:rsid w:val="00807A6F"/>
    <w:rsid w:val="00807AF5"/>
    <w:rsid w:val="00807DAA"/>
    <w:rsid w:val="008105D3"/>
    <w:rsid w:val="0081074B"/>
    <w:rsid w:val="008107D5"/>
    <w:rsid w:val="008115D6"/>
    <w:rsid w:val="00812693"/>
    <w:rsid w:val="00813648"/>
    <w:rsid w:val="008136FE"/>
    <w:rsid w:val="008138AC"/>
    <w:rsid w:val="00813DCE"/>
    <w:rsid w:val="00814052"/>
    <w:rsid w:val="0081437E"/>
    <w:rsid w:val="008143B0"/>
    <w:rsid w:val="00814537"/>
    <w:rsid w:val="00814A74"/>
    <w:rsid w:val="00814BFA"/>
    <w:rsid w:val="00814EC3"/>
    <w:rsid w:val="00815041"/>
    <w:rsid w:val="008152E9"/>
    <w:rsid w:val="00815381"/>
    <w:rsid w:val="0081597C"/>
    <w:rsid w:val="00815FE3"/>
    <w:rsid w:val="00816225"/>
    <w:rsid w:val="0081678A"/>
    <w:rsid w:val="0081694A"/>
    <w:rsid w:val="00816E49"/>
    <w:rsid w:val="00817094"/>
    <w:rsid w:val="00817B14"/>
    <w:rsid w:val="00817B5D"/>
    <w:rsid w:val="00817C67"/>
    <w:rsid w:val="0082048A"/>
    <w:rsid w:val="00820C7F"/>
    <w:rsid w:val="00821140"/>
    <w:rsid w:val="00821176"/>
    <w:rsid w:val="008216AE"/>
    <w:rsid w:val="00821C19"/>
    <w:rsid w:val="008229DB"/>
    <w:rsid w:val="00822D18"/>
    <w:rsid w:val="008240AC"/>
    <w:rsid w:val="00824344"/>
    <w:rsid w:val="00825F4D"/>
    <w:rsid w:val="00825FFF"/>
    <w:rsid w:val="00826312"/>
    <w:rsid w:val="008265E8"/>
    <w:rsid w:val="0082746E"/>
    <w:rsid w:val="00827860"/>
    <w:rsid w:val="00827B14"/>
    <w:rsid w:val="008300A1"/>
    <w:rsid w:val="00830E67"/>
    <w:rsid w:val="00831180"/>
    <w:rsid w:val="0083165D"/>
    <w:rsid w:val="00831688"/>
    <w:rsid w:val="00831E39"/>
    <w:rsid w:val="008322DE"/>
    <w:rsid w:val="00832AC4"/>
    <w:rsid w:val="00832FDF"/>
    <w:rsid w:val="00833001"/>
    <w:rsid w:val="00833136"/>
    <w:rsid w:val="00833143"/>
    <w:rsid w:val="008334DE"/>
    <w:rsid w:val="00834086"/>
    <w:rsid w:val="008349D4"/>
    <w:rsid w:val="00835032"/>
    <w:rsid w:val="008356C5"/>
    <w:rsid w:val="00835748"/>
    <w:rsid w:val="00835757"/>
    <w:rsid w:val="00835C41"/>
    <w:rsid w:val="00836055"/>
    <w:rsid w:val="008363E6"/>
    <w:rsid w:val="00836AED"/>
    <w:rsid w:val="00836C3F"/>
    <w:rsid w:val="00836E0C"/>
    <w:rsid w:val="00836F25"/>
    <w:rsid w:val="00836F7E"/>
    <w:rsid w:val="00837D97"/>
    <w:rsid w:val="0084012C"/>
    <w:rsid w:val="0084029E"/>
    <w:rsid w:val="0084079D"/>
    <w:rsid w:val="008414E6"/>
    <w:rsid w:val="00842316"/>
    <w:rsid w:val="0084234A"/>
    <w:rsid w:val="00842355"/>
    <w:rsid w:val="008425A9"/>
    <w:rsid w:val="008426B4"/>
    <w:rsid w:val="00843317"/>
    <w:rsid w:val="0084346D"/>
    <w:rsid w:val="00843CF8"/>
    <w:rsid w:val="00844831"/>
    <w:rsid w:val="00844D9F"/>
    <w:rsid w:val="0084554E"/>
    <w:rsid w:val="008457D1"/>
    <w:rsid w:val="00845970"/>
    <w:rsid w:val="00845B42"/>
    <w:rsid w:val="0084631F"/>
    <w:rsid w:val="00846C0A"/>
    <w:rsid w:val="0084724C"/>
    <w:rsid w:val="00847988"/>
    <w:rsid w:val="008502F8"/>
    <w:rsid w:val="008506A2"/>
    <w:rsid w:val="00851063"/>
    <w:rsid w:val="00851333"/>
    <w:rsid w:val="008518CD"/>
    <w:rsid w:val="0085192D"/>
    <w:rsid w:val="0085232B"/>
    <w:rsid w:val="0085243F"/>
    <w:rsid w:val="00852C65"/>
    <w:rsid w:val="00852F76"/>
    <w:rsid w:val="008533FC"/>
    <w:rsid w:val="008536F2"/>
    <w:rsid w:val="008543F5"/>
    <w:rsid w:val="008548BD"/>
    <w:rsid w:val="00854AC9"/>
    <w:rsid w:val="00854C91"/>
    <w:rsid w:val="00854CE5"/>
    <w:rsid w:val="00855061"/>
    <w:rsid w:val="00855504"/>
    <w:rsid w:val="00855EF0"/>
    <w:rsid w:val="00857625"/>
    <w:rsid w:val="00857EE5"/>
    <w:rsid w:val="00860123"/>
    <w:rsid w:val="008607DC"/>
    <w:rsid w:val="008608EF"/>
    <w:rsid w:val="00860E09"/>
    <w:rsid w:val="00860FE2"/>
    <w:rsid w:val="00861AFB"/>
    <w:rsid w:val="00862136"/>
    <w:rsid w:val="008621A2"/>
    <w:rsid w:val="008622B5"/>
    <w:rsid w:val="008623CA"/>
    <w:rsid w:val="00862A13"/>
    <w:rsid w:val="00862CB8"/>
    <w:rsid w:val="00864099"/>
    <w:rsid w:val="0086417D"/>
    <w:rsid w:val="00864D8A"/>
    <w:rsid w:val="00865002"/>
    <w:rsid w:val="008651C0"/>
    <w:rsid w:val="008651DB"/>
    <w:rsid w:val="008655BE"/>
    <w:rsid w:val="00865F99"/>
    <w:rsid w:val="00866129"/>
    <w:rsid w:val="008661C9"/>
    <w:rsid w:val="00866DD0"/>
    <w:rsid w:val="008670B4"/>
    <w:rsid w:val="00867201"/>
    <w:rsid w:val="00867C7D"/>
    <w:rsid w:val="00867E1F"/>
    <w:rsid w:val="00870047"/>
    <w:rsid w:val="008700E7"/>
    <w:rsid w:val="00870D81"/>
    <w:rsid w:val="00870EAF"/>
    <w:rsid w:val="00870FCD"/>
    <w:rsid w:val="00871DB3"/>
    <w:rsid w:val="00872C85"/>
    <w:rsid w:val="00872FFC"/>
    <w:rsid w:val="00873F1E"/>
    <w:rsid w:val="008745DA"/>
    <w:rsid w:val="00874661"/>
    <w:rsid w:val="0087501E"/>
    <w:rsid w:val="00875296"/>
    <w:rsid w:val="00876137"/>
    <w:rsid w:val="00876794"/>
    <w:rsid w:val="00876F1C"/>
    <w:rsid w:val="00877293"/>
    <w:rsid w:val="0087764E"/>
    <w:rsid w:val="00877E19"/>
    <w:rsid w:val="00880312"/>
    <w:rsid w:val="00880AB7"/>
    <w:rsid w:val="008810A7"/>
    <w:rsid w:val="0088127A"/>
    <w:rsid w:val="0088190D"/>
    <w:rsid w:val="00881B39"/>
    <w:rsid w:val="00881DD2"/>
    <w:rsid w:val="00881F76"/>
    <w:rsid w:val="00882DFD"/>
    <w:rsid w:val="008835C1"/>
    <w:rsid w:val="00883DBE"/>
    <w:rsid w:val="00883F92"/>
    <w:rsid w:val="008843B8"/>
    <w:rsid w:val="00884599"/>
    <w:rsid w:val="00884717"/>
    <w:rsid w:val="00884ABD"/>
    <w:rsid w:val="00884BCB"/>
    <w:rsid w:val="008853DB"/>
    <w:rsid w:val="008859E5"/>
    <w:rsid w:val="00885AD0"/>
    <w:rsid w:val="00885D0D"/>
    <w:rsid w:val="00885E2D"/>
    <w:rsid w:val="008866B6"/>
    <w:rsid w:val="00886B06"/>
    <w:rsid w:val="00886F1C"/>
    <w:rsid w:val="008878B8"/>
    <w:rsid w:val="00887A58"/>
    <w:rsid w:val="008902E4"/>
    <w:rsid w:val="00890516"/>
    <w:rsid w:val="00890CE0"/>
    <w:rsid w:val="008911A8"/>
    <w:rsid w:val="00891B7C"/>
    <w:rsid w:val="00892D9B"/>
    <w:rsid w:val="00893BF3"/>
    <w:rsid w:val="00893CE7"/>
    <w:rsid w:val="008940EC"/>
    <w:rsid w:val="00894F74"/>
    <w:rsid w:val="00895125"/>
    <w:rsid w:val="00895346"/>
    <w:rsid w:val="008953A2"/>
    <w:rsid w:val="00895465"/>
    <w:rsid w:val="00895C12"/>
    <w:rsid w:val="00896130"/>
    <w:rsid w:val="00896FBF"/>
    <w:rsid w:val="0089737E"/>
    <w:rsid w:val="008A1418"/>
    <w:rsid w:val="008A1F1C"/>
    <w:rsid w:val="008A234F"/>
    <w:rsid w:val="008A2460"/>
    <w:rsid w:val="008A274A"/>
    <w:rsid w:val="008A302A"/>
    <w:rsid w:val="008A305D"/>
    <w:rsid w:val="008A3397"/>
    <w:rsid w:val="008A33CF"/>
    <w:rsid w:val="008A3A3B"/>
    <w:rsid w:val="008A3C1A"/>
    <w:rsid w:val="008A507D"/>
    <w:rsid w:val="008A5B3C"/>
    <w:rsid w:val="008A5F0C"/>
    <w:rsid w:val="008A600E"/>
    <w:rsid w:val="008A6CC9"/>
    <w:rsid w:val="008A7181"/>
    <w:rsid w:val="008A74D4"/>
    <w:rsid w:val="008A7847"/>
    <w:rsid w:val="008A7EDB"/>
    <w:rsid w:val="008A7F5F"/>
    <w:rsid w:val="008B03DB"/>
    <w:rsid w:val="008B197D"/>
    <w:rsid w:val="008B1C4D"/>
    <w:rsid w:val="008B1C72"/>
    <w:rsid w:val="008B2254"/>
    <w:rsid w:val="008B2811"/>
    <w:rsid w:val="008B2EA5"/>
    <w:rsid w:val="008B318F"/>
    <w:rsid w:val="008B3D3A"/>
    <w:rsid w:val="008B41C8"/>
    <w:rsid w:val="008B4A6E"/>
    <w:rsid w:val="008B4AEB"/>
    <w:rsid w:val="008B50AE"/>
    <w:rsid w:val="008B527E"/>
    <w:rsid w:val="008B52A5"/>
    <w:rsid w:val="008B5578"/>
    <w:rsid w:val="008B5611"/>
    <w:rsid w:val="008B64BD"/>
    <w:rsid w:val="008B652D"/>
    <w:rsid w:val="008B6531"/>
    <w:rsid w:val="008B65C8"/>
    <w:rsid w:val="008B681F"/>
    <w:rsid w:val="008B68EC"/>
    <w:rsid w:val="008B68EE"/>
    <w:rsid w:val="008B6E5B"/>
    <w:rsid w:val="008B7AE4"/>
    <w:rsid w:val="008B7FC6"/>
    <w:rsid w:val="008C0067"/>
    <w:rsid w:val="008C03F4"/>
    <w:rsid w:val="008C08A0"/>
    <w:rsid w:val="008C0E9A"/>
    <w:rsid w:val="008C0EC8"/>
    <w:rsid w:val="008C1892"/>
    <w:rsid w:val="008C1A4A"/>
    <w:rsid w:val="008C2251"/>
    <w:rsid w:val="008C25C9"/>
    <w:rsid w:val="008C25D3"/>
    <w:rsid w:val="008C2767"/>
    <w:rsid w:val="008C2C66"/>
    <w:rsid w:val="008C38A5"/>
    <w:rsid w:val="008C398B"/>
    <w:rsid w:val="008C4452"/>
    <w:rsid w:val="008C4638"/>
    <w:rsid w:val="008C48DF"/>
    <w:rsid w:val="008C4BFF"/>
    <w:rsid w:val="008C635E"/>
    <w:rsid w:val="008C65AE"/>
    <w:rsid w:val="008C6A2B"/>
    <w:rsid w:val="008C6B5E"/>
    <w:rsid w:val="008C7492"/>
    <w:rsid w:val="008C7E9F"/>
    <w:rsid w:val="008C7FC3"/>
    <w:rsid w:val="008D0393"/>
    <w:rsid w:val="008D070D"/>
    <w:rsid w:val="008D0842"/>
    <w:rsid w:val="008D12E9"/>
    <w:rsid w:val="008D1A1A"/>
    <w:rsid w:val="008D1CC2"/>
    <w:rsid w:val="008D203D"/>
    <w:rsid w:val="008D246B"/>
    <w:rsid w:val="008D2A74"/>
    <w:rsid w:val="008D358C"/>
    <w:rsid w:val="008D36B8"/>
    <w:rsid w:val="008D3A53"/>
    <w:rsid w:val="008D3B65"/>
    <w:rsid w:val="008D3DE6"/>
    <w:rsid w:val="008D3E7D"/>
    <w:rsid w:val="008D492D"/>
    <w:rsid w:val="008D4C27"/>
    <w:rsid w:val="008D4E3A"/>
    <w:rsid w:val="008D4FF2"/>
    <w:rsid w:val="008D5156"/>
    <w:rsid w:val="008D6306"/>
    <w:rsid w:val="008D6CBC"/>
    <w:rsid w:val="008D6F74"/>
    <w:rsid w:val="008D727C"/>
    <w:rsid w:val="008D74B7"/>
    <w:rsid w:val="008E03BE"/>
    <w:rsid w:val="008E0F48"/>
    <w:rsid w:val="008E15DA"/>
    <w:rsid w:val="008E23C1"/>
    <w:rsid w:val="008E249A"/>
    <w:rsid w:val="008E2DE3"/>
    <w:rsid w:val="008E2DEB"/>
    <w:rsid w:val="008E38D6"/>
    <w:rsid w:val="008E3E5D"/>
    <w:rsid w:val="008E422D"/>
    <w:rsid w:val="008E45CA"/>
    <w:rsid w:val="008E53A6"/>
    <w:rsid w:val="008E61B4"/>
    <w:rsid w:val="008E6D56"/>
    <w:rsid w:val="008E78DC"/>
    <w:rsid w:val="008E79AD"/>
    <w:rsid w:val="008E7A4C"/>
    <w:rsid w:val="008E7CB3"/>
    <w:rsid w:val="008F01E0"/>
    <w:rsid w:val="008F0202"/>
    <w:rsid w:val="008F0399"/>
    <w:rsid w:val="008F0B09"/>
    <w:rsid w:val="008F0B78"/>
    <w:rsid w:val="008F161A"/>
    <w:rsid w:val="008F1C2A"/>
    <w:rsid w:val="008F2D1C"/>
    <w:rsid w:val="008F2DE8"/>
    <w:rsid w:val="008F4027"/>
    <w:rsid w:val="008F45DF"/>
    <w:rsid w:val="008F47BC"/>
    <w:rsid w:val="008F4CBB"/>
    <w:rsid w:val="008F56FB"/>
    <w:rsid w:val="008F5A0B"/>
    <w:rsid w:val="008F5CE8"/>
    <w:rsid w:val="008F61E1"/>
    <w:rsid w:val="008F6617"/>
    <w:rsid w:val="008F6798"/>
    <w:rsid w:val="008F73CA"/>
    <w:rsid w:val="008F76B0"/>
    <w:rsid w:val="008F7702"/>
    <w:rsid w:val="008F7ACF"/>
    <w:rsid w:val="00900EC2"/>
    <w:rsid w:val="009014AE"/>
    <w:rsid w:val="0090180A"/>
    <w:rsid w:val="00901B3A"/>
    <w:rsid w:val="00901C20"/>
    <w:rsid w:val="00902F6F"/>
    <w:rsid w:val="00903090"/>
    <w:rsid w:val="009030D8"/>
    <w:rsid w:val="009036D9"/>
    <w:rsid w:val="0090393A"/>
    <w:rsid w:val="00903C97"/>
    <w:rsid w:val="009042DA"/>
    <w:rsid w:val="00904635"/>
    <w:rsid w:val="00904959"/>
    <w:rsid w:val="00904AC1"/>
    <w:rsid w:val="009051DB"/>
    <w:rsid w:val="009052C0"/>
    <w:rsid w:val="009060B1"/>
    <w:rsid w:val="009064F5"/>
    <w:rsid w:val="00906725"/>
    <w:rsid w:val="00906765"/>
    <w:rsid w:val="00906D0A"/>
    <w:rsid w:val="009075FE"/>
    <w:rsid w:val="00907B2C"/>
    <w:rsid w:val="00907D09"/>
    <w:rsid w:val="00907EA5"/>
    <w:rsid w:val="00907F43"/>
    <w:rsid w:val="0091058E"/>
    <w:rsid w:val="00911617"/>
    <w:rsid w:val="00911EA4"/>
    <w:rsid w:val="00912273"/>
    <w:rsid w:val="00912311"/>
    <w:rsid w:val="009124BD"/>
    <w:rsid w:val="009124DB"/>
    <w:rsid w:val="00912705"/>
    <w:rsid w:val="00912CDF"/>
    <w:rsid w:val="009137D5"/>
    <w:rsid w:val="0091403F"/>
    <w:rsid w:val="00914B96"/>
    <w:rsid w:val="00914DAF"/>
    <w:rsid w:val="00915FA2"/>
    <w:rsid w:val="009166C2"/>
    <w:rsid w:val="00916823"/>
    <w:rsid w:val="00917901"/>
    <w:rsid w:val="00917B85"/>
    <w:rsid w:val="0092067F"/>
    <w:rsid w:val="0092094C"/>
    <w:rsid w:val="00920AB0"/>
    <w:rsid w:val="00921843"/>
    <w:rsid w:val="00922232"/>
    <w:rsid w:val="00922CDD"/>
    <w:rsid w:val="0092316C"/>
    <w:rsid w:val="00923664"/>
    <w:rsid w:val="00924694"/>
    <w:rsid w:val="00924715"/>
    <w:rsid w:val="00925591"/>
    <w:rsid w:val="00925888"/>
    <w:rsid w:val="00925A79"/>
    <w:rsid w:val="0092606A"/>
    <w:rsid w:val="00927A05"/>
    <w:rsid w:val="00927AEF"/>
    <w:rsid w:val="00930706"/>
    <w:rsid w:val="009308E9"/>
    <w:rsid w:val="009315C6"/>
    <w:rsid w:val="00931B5C"/>
    <w:rsid w:val="00932018"/>
    <w:rsid w:val="00932EE8"/>
    <w:rsid w:val="00933390"/>
    <w:rsid w:val="009340D3"/>
    <w:rsid w:val="00934ABD"/>
    <w:rsid w:val="00934B13"/>
    <w:rsid w:val="009352DD"/>
    <w:rsid w:val="00935496"/>
    <w:rsid w:val="00936122"/>
    <w:rsid w:val="00936151"/>
    <w:rsid w:val="009361F9"/>
    <w:rsid w:val="009365E0"/>
    <w:rsid w:val="0093697A"/>
    <w:rsid w:val="00936987"/>
    <w:rsid w:val="00936E3E"/>
    <w:rsid w:val="00937628"/>
    <w:rsid w:val="009376B2"/>
    <w:rsid w:val="00937876"/>
    <w:rsid w:val="009378F6"/>
    <w:rsid w:val="00940239"/>
    <w:rsid w:val="00940982"/>
    <w:rsid w:val="00940B37"/>
    <w:rsid w:val="00941322"/>
    <w:rsid w:val="00941561"/>
    <w:rsid w:val="0094160E"/>
    <w:rsid w:val="00941BED"/>
    <w:rsid w:val="009420F3"/>
    <w:rsid w:val="009425CA"/>
    <w:rsid w:val="00942F12"/>
    <w:rsid w:val="0094345C"/>
    <w:rsid w:val="0094385D"/>
    <w:rsid w:val="00943B9F"/>
    <w:rsid w:val="00944187"/>
    <w:rsid w:val="009452D9"/>
    <w:rsid w:val="0094555A"/>
    <w:rsid w:val="009457B4"/>
    <w:rsid w:val="00945A46"/>
    <w:rsid w:val="00946A13"/>
    <w:rsid w:val="00947C86"/>
    <w:rsid w:val="00947E40"/>
    <w:rsid w:val="00950167"/>
    <w:rsid w:val="00950186"/>
    <w:rsid w:val="00950D29"/>
    <w:rsid w:val="0095110E"/>
    <w:rsid w:val="00951218"/>
    <w:rsid w:val="00952ABD"/>
    <w:rsid w:val="00952E64"/>
    <w:rsid w:val="00953095"/>
    <w:rsid w:val="009530E7"/>
    <w:rsid w:val="0095363B"/>
    <w:rsid w:val="009536B7"/>
    <w:rsid w:val="00953B2C"/>
    <w:rsid w:val="00953B90"/>
    <w:rsid w:val="00953DB5"/>
    <w:rsid w:val="00954456"/>
    <w:rsid w:val="009545B9"/>
    <w:rsid w:val="00954796"/>
    <w:rsid w:val="00954C95"/>
    <w:rsid w:val="009556AC"/>
    <w:rsid w:val="00955B16"/>
    <w:rsid w:val="00956327"/>
    <w:rsid w:val="00956E37"/>
    <w:rsid w:val="0095737C"/>
    <w:rsid w:val="009575C6"/>
    <w:rsid w:val="00957AAC"/>
    <w:rsid w:val="00957BD9"/>
    <w:rsid w:val="00960815"/>
    <w:rsid w:val="00960C2F"/>
    <w:rsid w:val="00960E40"/>
    <w:rsid w:val="009614FF"/>
    <w:rsid w:val="00961D95"/>
    <w:rsid w:val="00961F8D"/>
    <w:rsid w:val="00961F92"/>
    <w:rsid w:val="0096274C"/>
    <w:rsid w:val="00962D53"/>
    <w:rsid w:val="00962E51"/>
    <w:rsid w:val="00963155"/>
    <w:rsid w:val="00963689"/>
    <w:rsid w:val="00965D80"/>
    <w:rsid w:val="00966E86"/>
    <w:rsid w:val="00967366"/>
    <w:rsid w:val="00970078"/>
    <w:rsid w:val="009709AF"/>
    <w:rsid w:val="00970C14"/>
    <w:rsid w:val="00970E4A"/>
    <w:rsid w:val="00971086"/>
    <w:rsid w:val="00971779"/>
    <w:rsid w:val="0097198B"/>
    <w:rsid w:val="00971B22"/>
    <w:rsid w:val="009727AC"/>
    <w:rsid w:val="00973798"/>
    <w:rsid w:val="00973FC7"/>
    <w:rsid w:val="0097418E"/>
    <w:rsid w:val="009748E6"/>
    <w:rsid w:val="00974929"/>
    <w:rsid w:val="00974A08"/>
    <w:rsid w:val="0097606B"/>
    <w:rsid w:val="009760AF"/>
    <w:rsid w:val="009771EA"/>
    <w:rsid w:val="009773BA"/>
    <w:rsid w:val="00977A9E"/>
    <w:rsid w:val="00980329"/>
    <w:rsid w:val="009804FD"/>
    <w:rsid w:val="009807D1"/>
    <w:rsid w:val="00980977"/>
    <w:rsid w:val="00982279"/>
    <w:rsid w:val="009822F5"/>
    <w:rsid w:val="0098231E"/>
    <w:rsid w:val="00982826"/>
    <w:rsid w:val="00983053"/>
    <w:rsid w:val="009831F2"/>
    <w:rsid w:val="009832D7"/>
    <w:rsid w:val="0098475D"/>
    <w:rsid w:val="00984821"/>
    <w:rsid w:val="00984FDD"/>
    <w:rsid w:val="00986325"/>
    <w:rsid w:val="00986627"/>
    <w:rsid w:val="00987098"/>
    <w:rsid w:val="00987A1B"/>
    <w:rsid w:val="00987B2F"/>
    <w:rsid w:val="00987CC7"/>
    <w:rsid w:val="009901DE"/>
    <w:rsid w:val="00990795"/>
    <w:rsid w:val="0099129D"/>
    <w:rsid w:val="00991563"/>
    <w:rsid w:val="00991D10"/>
    <w:rsid w:val="0099243F"/>
    <w:rsid w:val="00992CB4"/>
    <w:rsid w:val="00992DA2"/>
    <w:rsid w:val="00993041"/>
    <w:rsid w:val="009934BE"/>
    <w:rsid w:val="00993760"/>
    <w:rsid w:val="00993A70"/>
    <w:rsid w:val="00993EAC"/>
    <w:rsid w:val="00994526"/>
    <w:rsid w:val="00994911"/>
    <w:rsid w:val="00994A77"/>
    <w:rsid w:val="00994B30"/>
    <w:rsid w:val="00995F0F"/>
    <w:rsid w:val="00995F40"/>
    <w:rsid w:val="00996037"/>
    <w:rsid w:val="009964CF"/>
    <w:rsid w:val="00996F19"/>
    <w:rsid w:val="009974D1"/>
    <w:rsid w:val="0099751E"/>
    <w:rsid w:val="00997A49"/>
    <w:rsid w:val="009A0636"/>
    <w:rsid w:val="009A0A42"/>
    <w:rsid w:val="009A0C12"/>
    <w:rsid w:val="009A0EF9"/>
    <w:rsid w:val="009A0F6E"/>
    <w:rsid w:val="009A1C53"/>
    <w:rsid w:val="009A1C72"/>
    <w:rsid w:val="009A1CB2"/>
    <w:rsid w:val="009A2729"/>
    <w:rsid w:val="009A2732"/>
    <w:rsid w:val="009A2E59"/>
    <w:rsid w:val="009A30A9"/>
    <w:rsid w:val="009A3CC2"/>
    <w:rsid w:val="009A4484"/>
    <w:rsid w:val="009A44A6"/>
    <w:rsid w:val="009A4810"/>
    <w:rsid w:val="009A531B"/>
    <w:rsid w:val="009A5357"/>
    <w:rsid w:val="009A5732"/>
    <w:rsid w:val="009A5F4B"/>
    <w:rsid w:val="009A62C1"/>
    <w:rsid w:val="009A6838"/>
    <w:rsid w:val="009A68F5"/>
    <w:rsid w:val="009A68F6"/>
    <w:rsid w:val="009A6F20"/>
    <w:rsid w:val="009A6F68"/>
    <w:rsid w:val="009A73CC"/>
    <w:rsid w:val="009A7470"/>
    <w:rsid w:val="009A7490"/>
    <w:rsid w:val="009A7619"/>
    <w:rsid w:val="009A7D87"/>
    <w:rsid w:val="009B0FF1"/>
    <w:rsid w:val="009B110B"/>
    <w:rsid w:val="009B126C"/>
    <w:rsid w:val="009B2106"/>
    <w:rsid w:val="009B22E6"/>
    <w:rsid w:val="009B2961"/>
    <w:rsid w:val="009B2D60"/>
    <w:rsid w:val="009B2FEE"/>
    <w:rsid w:val="009B3421"/>
    <w:rsid w:val="009B3674"/>
    <w:rsid w:val="009B3693"/>
    <w:rsid w:val="009B3FCC"/>
    <w:rsid w:val="009B4749"/>
    <w:rsid w:val="009B478C"/>
    <w:rsid w:val="009B4D40"/>
    <w:rsid w:val="009B5010"/>
    <w:rsid w:val="009B5125"/>
    <w:rsid w:val="009B57E5"/>
    <w:rsid w:val="009B6799"/>
    <w:rsid w:val="009B6F0B"/>
    <w:rsid w:val="009B710D"/>
    <w:rsid w:val="009B7194"/>
    <w:rsid w:val="009B7355"/>
    <w:rsid w:val="009B77FD"/>
    <w:rsid w:val="009B7AAC"/>
    <w:rsid w:val="009B7E6B"/>
    <w:rsid w:val="009C0049"/>
    <w:rsid w:val="009C186D"/>
    <w:rsid w:val="009C1AE1"/>
    <w:rsid w:val="009C2856"/>
    <w:rsid w:val="009C2B93"/>
    <w:rsid w:val="009C2DBE"/>
    <w:rsid w:val="009C2E01"/>
    <w:rsid w:val="009C32D5"/>
    <w:rsid w:val="009C385C"/>
    <w:rsid w:val="009C3A6E"/>
    <w:rsid w:val="009C430E"/>
    <w:rsid w:val="009C4532"/>
    <w:rsid w:val="009C5081"/>
    <w:rsid w:val="009C5341"/>
    <w:rsid w:val="009C556B"/>
    <w:rsid w:val="009C562F"/>
    <w:rsid w:val="009C567F"/>
    <w:rsid w:val="009C6218"/>
    <w:rsid w:val="009C649C"/>
    <w:rsid w:val="009C7260"/>
    <w:rsid w:val="009C727C"/>
    <w:rsid w:val="009C7494"/>
    <w:rsid w:val="009C7E3E"/>
    <w:rsid w:val="009D05EB"/>
    <w:rsid w:val="009D0B68"/>
    <w:rsid w:val="009D162F"/>
    <w:rsid w:val="009D1F4F"/>
    <w:rsid w:val="009D2197"/>
    <w:rsid w:val="009D23A6"/>
    <w:rsid w:val="009D23D4"/>
    <w:rsid w:val="009D2AE0"/>
    <w:rsid w:val="009D2AEB"/>
    <w:rsid w:val="009D2FB5"/>
    <w:rsid w:val="009D305E"/>
    <w:rsid w:val="009D3121"/>
    <w:rsid w:val="009D5A47"/>
    <w:rsid w:val="009D5BB8"/>
    <w:rsid w:val="009D5DED"/>
    <w:rsid w:val="009D60D8"/>
    <w:rsid w:val="009D61EB"/>
    <w:rsid w:val="009D67ED"/>
    <w:rsid w:val="009D6FBB"/>
    <w:rsid w:val="009D6FE1"/>
    <w:rsid w:val="009D7A2B"/>
    <w:rsid w:val="009D7BA4"/>
    <w:rsid w:val="009D7C7A"/>
    <w:rsid w:val="009E0A40"/>
    <w:rsid w:val="009E0E93"/>
    <w:rsid w:val="009E0EE8"/>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1BA"/>
    <w:rsid w:val="009E55B8"/>
    <w:rsid w:val="009E587B"/>
    <w:rsid w:val="009E61AB"/>
    <w:rsid w:val="009E686A"/>
    <w:rsid w:val="009E695A"/>
    <w:rsid w:val="009E6B63"/>
    <w:rsid w:val="009E7B0E"/>
    <w:rsid w:val="009E7C68"/>
    <w:rsid w:val="009F02D6"/>
    <w:rsid w:val="009F0DC4"/>
    <w:rsid w:val="009F1397"/>
    <w:rsid w:val="009F14ED"/>
    <w:rsid w:val="009F16C3"/>
    <w:rsid w:val="009F1701"/>
    <w:rsid w:val="009F190F"/>
    <w:rsid w:val="009F23B9"/>
    <w:rsid w:val="009F260E"/>
    <w:rsid w:val="009F3337"/>
    <w:rsid w:val="009F3445"/>
    <w:rsid w:val="009F45FB"/>
    <w:rsid w:val="009F4786"/>
    <w:rsid w:val="009F4969"/>
    <w:rsid w:val="009F4C54"/>
    <w:rsid w:val="009F540F"/>
    <w:rsid w:val="009F57E9"/>
    <w:rsid w:val="009F5E1E"/>
    <w:rsid w:val="009F6393"/>
    <w:rsid w:val="009F6D41"/>
    <w:rsid w:val="009F773E"/>
    <w:rsid w:val="009F799D"/>
    <w:rsid w:val="00A0012C"/>
    <w:rsid w:val="00A00688"/>
    <w:rsid w:val="00A01080"/>
    <w:rsid w:val="00A01351"/>
    <w:rsid w:val="00A01CC3"/>
    <w:rsid w:val="00A01D03"/>
    <w:rsid w:val="00A022FE"/>
    <w:rsid w:val="00A029E2"/>
    <w:rsid w:val="00A02AE4"/>
    <w:rsid w:val="00A02E12"/>
    <w:rsid w:val="00A030D4"/>
    <w:rsid w:val="00A031AE"/>
    <w:rsid w:val="00A0378E"/>
    <w:rsid w:val="00A0490C"/>
    <w:rsid w:val="00A04FCD"/>
    <w:rsid w:val="00A05A83"/>
    <w:rsid w:val="00A05D57"/>
    <w:rsid w:val="00A05DD7"/>
    <w:rsid w:val="00A06100"/>
    <w:rsid w:val="00A06439"/>
    <w:rsid w:val="00A06503"/>
    <w:rsid w:val="00A067B5"/>
    <w:rsid w:val="00A06890"/>
    <w:rsid w:val="00A06F4E"/>
    <w:rsid w:val="00A07051"/>
    <w:rsid w:val="00A0735B"/>
    <w:rsid w:val="00A074B4"/>
    <w:rsid w:val="00A10E62"/>
    <w:rsid w:val="00A11250"/>
    <w:rsid w:val="00A125A8"/>
    <w:rsid w:val="00A12B41"/>
    <w:rsid w:val="00A12FB1"/>
    <w:rsid w:val="00A13250"/>
    <w:rsid w:val="00A13349"/>
    <w:rsid w:val="00A13778"/>
    <w:rsid w:val="00A13CEA"/>
    <w:rsid w:val="00A1439F"/>
    <w:rsid w:val="00A14D27"/>
    <w:rsid w:val="00A15005"/>
    <w:rsid w:val="00A1558B"/>
    <w:rsid w:val="00A1559A"/>
    <w:rsid w:val="00A15974"/>
    <w:rsid w:val="00A15AB5"/>
    <w:rsid w:val="00A16146"/>
    <w:rsid w:val="00A163D4"/>
    <w:rsid w:val="00A16D22"/>
    <w:rsid w:val="00A17123"/>
    <w:rsid w:val="00A178B2"/>
    <w:rsid w:val="00A204C3"/>
    <w:rsid w:val="00A2084A"/>
    <w:rsid w:val="00A20AD5"/>
    <w:rsid w:val="00A20CFC"/>
    <w:rsid w:val="00A20FCB"/>
    <w:rsid w:val="00A2101C"/>
    <w:rsid w:val="00A212D1"/>
    <w:rsid w:val="00A21E53"/>
    <w:rsid w:val="00A221ED"/>
    <w:rsid w:val="00A2238E"/>
    <w:rsid w:val="00A22403"/>
    <w:rsid w:val="00A22635"/>
    <w:rsid w:val="00A22828"/>
    <w:rsid w:val="00A22A18"/>
    <w:rsid w:val="00A22E34"/>
    <w:rsid w:val="00A24F9D"/>
    <w:rsid w:val="00A25597"/>
    <w:rsid w:val="00A25AF1"/>
    <w:rsid w:val="00A2634A"/>
    <w:rsid w:val="00A268B3"/>
    <w:rsid w:val="00A268FB"/>
    <w:rsid w:val="00A26E82"/>
    <w:rsid w:val="00A26F08"/>
    <w:rsid w:val="00A26FF9"/>
    <w:rsid w:val="00A27000"/>
    <w:rsid w:val="00A27040"/>
    <w:rsid w:val="00A275D2"/>
    <w:rsid w:val="00A27849"/>
    <w:rsid w:val="00A278BF"/>
    <w:rsid w:val="00A27A3E"/>
    <w:rsid w:val="00A3019C"/>
    <w:rsid w:val="00A308BC"/>
    <w:rsid w:val="00A32005"/>
    <w:rsid w:val="00A3253D"/>
    <w:rsid w:val="00A32898"/>
    <w:rsid w:val="00A33067"/>
    <w:rsid w:val="00A33523"/>
    <w:rsid w:val="00A33570"/>
    <w:rsid w:val="00A33B34"/>
    <w:rsid w:val="00A3596C"/>
    <w:rsid w:val="00A35DBC"/>
    <w:rsid w:val="00A35F2E"/>
    <w:rsid w:val="00A36248"/>
    <w:rsid w:val="00A36C7A"/>
    <w:rsid w:val="00A36D47"/>
    <w:rsid w:val="00A36DC3"/>
    <w:rsid w:val="00A37709"/>
    <w:rsid w:val="00A37B80"/>
    <w:rsid w:val="00A37D8F"/>
    <w:rsid w:val="00A40406"/>
    <w:rsid w:val="00A40E60"/>
    <w:rsid w:val="00A40FB5"/>
    <w:rsid w:val="00A4136D"/>
    <w:rsid w:val="00A414DB"/>
    <w:rsid w:val="00A417A5"/>
    <w:rsid w:val="00A42FBA"/>
    <w:rsid w:val="00A4349C"/>
    <w:rsid w:val="00A435C6"/>
    <w:rsid w:val="00A43B48"/>
    <w:rsid w:val="00A43BEC"/>
    <w:rsid w:val="00A44C1C"/>
    <w:rsid w:val="00A44E06"/>
    <w:rsid w:val="00A45677"/>
    <w:rsid w:val="00A45FFC"/>
    <w:rsid w:val="00A46257"/>
    <w:rsid w:val="00A4637E"/>
    <w:rsid w:val="00A466A3"/>
    <w:rsid w:val="00A46B0A"/>
    <w:rsid w:val="00A475BB"/>
    <w:rsid w:val="00A477C7"/>
    <w:rsid w:val="00A47BD0"/>
    <w:rsid w:val="00A50763"/>
    <w:rsid w:val="00A508AD"/>
    <w:rsid w:val="00A509FC"/>
    <w:rsid w:val="00A51853"/>
    <w:rsid w:val="00A521CD"/>
    <w:rsid w:val="00A52AAC"/>
    <w:rsid w:val="00A52E3A"/>
    <w:rsid w:val="00A53355"/>
    <w:rsid w:val="00A538B7"/>
    <w:rsid w:val="00A54056"/>
    <w:rsid w:val="00A546B3"/>
    <w:rsid w:val="00A5498B"/>
    <w:rsid w:val="00A553F2"/>
    <w:rsid w:val="00A55BE8"/>
    <w:rsid w:val="00A55D72"/>
    <w:rsid w:val="00A55FDE"/>
    <w:rsid w:val="00A5625F"/>
    <w:rsid w:val="00A56E01"/>
    <w:rsid w:val="00A57044"/>
    <w:rsid w:val="00A5712A"/>
    <w:rsid w:val="00A57703"/>
    <w:rsid w:val="00A605AC"/>
    <w:rsid w:val="00A605D8"/>
    <w:rsid w:val="00A607F2"/>
    <w:rsid w:val="00A60C65"/>
    <w:rsid w:val="00A616DA"/>
    <w:rsid w:val="00A617DF"/>
    <w:rsid w:val="00A61FF9"/>
    <w:rsid w:val="00A62CAC"/>
    <w:rsid w:val="00A6377A"/>
    <w:rsid w:val="00A63AE7"/>
    <w:rsid w:val="00A63B48"/>
    <w:rsid w:val="00A63D3F"/>
    <w:rsid w:val="00A64217"/>
    <w:rsid w:val="00A645C6"/>
    <w:rsid w:val="00A648FD"/>
    <w:rsid w:val="00A658EB"/>
    <w:rsid w:val="00A66678"/>
    <w:rsid w:val="00A669DD"/>
    <w:rsid w:val="00A66DF1"/>
    <w:rsid w:val="00A67298"/>
    <w:rsid w:val="00A67AD9"/>
    <w:rsid w:val="00A709E7"/>
    <w:rsid w:val="00A70A17"/>
    <w:rsid w:val="00A70B14"/>
    <w:rsid w:val="00A71454"/>
    <w:rsid w:val="00A715D4"/>
    <w:rsid w:val="00A717A4"/>
    <w:rsid w:val="00A71E6A"/>
    <w:rsid w:val="00A72282"/>
    <w:rsid w:val="00A72B8B"/>
    <w:rsid w:val="00A72E64"/>
    <w:rsid w:val="00A731E8"/>
    <w:rsid w:val="00A7371B"/>
    <w:rsid w:val="00A73F12"/>
    <w:rsid w:val="00A74224"/>
    <w:rsid w:val="00A74425"/>
    <w:rsid w:val="00A74433"/>
    <w:rsid w:val="00A75616"/>
    <w:rsid w:val="00A7584B"/>
    <w:rsid w:val="00A75A89"/>
    <w:rsid w:val="00A75CA2"/>
    <w:rsid w:val="00A75F19"/>
    <w:rsid w:val="00A763DB"/>
    <w:rsid w:val="00A7680B"/>
    <w:rsid w:val="00A76BF8"/>
    <w:rsid w:val="00A76F98"/>
    <w:rsid w:val="00A7740B"/>
    <w:rsid w:val="00A7790B"/>
    <w:rsid w:val="00A8037C"/>
    <w:rsid w:val="00A80659"/>
    <w:rsid w:val="00A8082C"/>
    <w:rsid w:val="00A817EE"/>
    <w:rsid w:val="00A81F4F"/>
    <w:rsid w:val="00A8267D"/>
    <w:rsid w:val="00A82738"/>
    <w:rsid w:val="00A82930"/>
    <w:rsid w:val="00A82EDC"/>
    <w:rsid w:val="00A832F6"/>
    <w:rsid w:val="00A838AD"/>
    <w:rsid w:val="00A840C0"/>
    <w:rsid w:val="00A84518"/>
    <w:rsid w:val="00A84596"/>
    <w:rsid w:val="00A847B1"/>
    <w:rsid w:val="00A84CBD"/>
    <w:rsid w:val="00A84FAA"/>
    <w:rsid w:val="00A85316"/>
    <w:rsid w:val="00A8554A"/>
    <w:rsid w:val="00A858CD"/>
    <w:rsid w:val="00A86180"/>
    <w:rsid w:val="00A864E1"/>
    <w:rsid w:val="00A86687"/>
    <w:rsid w:val="00A867A2"/>
    <w:rsid w:val="00A86A4A"/>
    <w:rsid w:val="00A8727E"/>
    <w:rsid w:val="00A8734E"/>
    <w:rsid w:val="00A874EE"/>
    <w:rsid w:val="00A8762B"/>
    <w:rsid w:val="00A87F77"/>
    <w:rsid w:val="00A9016D"/>
    <w:rsid w:val="00A90366"/>
    <w:rsid w:val="00A90487"/>
    <w:rsid w:val="00A904F1"/>
    <w:rsid w:val="00A905F5"/>
    <w:rsid w:val="00A90942"/>
    <w:rsid w:val="00A91A70"/>
    <w:rsid w:val="00A928B1"/>
    <w:rsid w:val="00A94000"/>
    <w:rsid w:val="00A95192"/>
    <w:rsid w:val="00A95234"/>
    <w:rsid w:val="00A95342"/>
    <w:rsid w:val="00A953AE"/>
    <w:rsid w:val="00A95855"/>
    <w:rsid w:val="00A95B9B"/>
    <w:rsid w:val="00A95DD8"/>
    <w:rsid w:val="00A96719"/>
    <w:rsid w:val="00AA01B1"/>
    <w:rsid w:val="00AA025D"/>
    <w:rsid w:val="00AA0328"/>
    <w:rsid w:val="00AA0E7A"/>
    <w:rsid w:val="00AA1145"/>
    <w:rsid w:val="00AA1148"/>
    <w:rsid w:val="00AA1C49"/>
    <w:rsid w:val="00AA1E34"/>
    <w:rsid w:val="00AA219F"/>
    <w:rsid w:val="00AA21C0"/>
    <w:rsid w:val="00AA25C5"/>
    <w:rsid w:val="00AA274F"/>
    <w:rsid w:val="00AA29C0"/>
    <w:rsid w:val="00AA2A51"/>
    <w:rsid w:val="00AA2F4B"/>
    <w:rsid w:val="00AA33B1"/>
    <w:rsid w:val="00AA3A33"/>
    <w:rsid w:val="00AA3F6E"/>
    <w:rsid w:val="00AA4FA5"/>
    <w:rsid w:val="00AA4FCD"/>
    <w:rsid w:val="00AA595F"/>
    <w:rsid w:val="00AA5A6C"/>
    <w:rsid w:val="00AA6AEF"/>
    <w:rsid w:val="00AA6CC2"/>
    <w:rsid w:val="00AA7110"/>
    <w:rsid w:val="00AA724D"/>
    <w:rsid w:val="00AA7BE4"/>
    <w:rsid w:val="00AB0359"/>
    <w:rsid w:val="00AB056A"/>
    <w:rsid w:val="00AB1A04"/>
    <w:rsid w:val="00AB1BC0"/>
    <w:rsid w:val="00AB2768"/>
    <w:rsid w:val="00AB27FC"/>
    <w:rsid w:val="00AB282F"/>
    <w:rsid w:val="00AB447A"/>
    <w:rsid w:val="00AB460A"/>
    <w:rsid w:val="00AB49AE"/>
    <w:rsid w:val="00AB4A3B"/>
    <w:rsid w:val="00AB508D"/>
    <w:rsid w:val="00AB5362"/>
    <w:rsid w:val="00AB57B6"/>
    <w:rsid w:val="00AB5A90"/>
    <w:rsid w:val="00AB5EE1"/>
    <w:rsid w:val="00AB6489"/>
    <w:rsid w:val="00AB64AB"/>
    <w:rsid w:val="00AB6810"/>
    <w:rsid w:val="00AB6C80"/>
    <w:rsid w:val="00AB7153"/>
    <w:rsid w:val="00AB7301"/>
    <w:rsid w:val="00AB7768"/>
    <w:rsid w:val="00AB788C"/>
    <w:rsid w:val="00AB7C0D"/>
    <w:rsid w:val="00AC1B5F"/>
    <w:rsid w:val="00AC2189"/>
    <w:rsid w:val="00AC2875"/>
    <w:rsid w:val="00AC2A6F"/>
    <w:rsid w:val="00AC30C2"/>
    <w:rsid w:val="00AC36DF"/>
    <w:rsid w:val="00AC3EE2"/>
    <w:rsid w:val="00AC42FB"/>
    <w:rsid w:val="00AC4733"/>
    <w:rsid w:val="00AC4CB0"/>
    <w:rsid w:val="00AC508D"/>
    <w:rsid w:val="00AC5142"/>
    <w:rsid w:val="00AC5275"/>
    <w:rsid w:val="00AC5F17"/>
    <w:rsid w:val="00AC60DC"/>
    <w:rsid w:val="00AC6BB3"/>
    <w:rsid w:val="00AC7CBF"/>
    <w:rsid w:val="00AC7DF9"/>
    <w:rsid w:val="00AD0C86"/>
    <w:rsid w:val="00AD0D5C"/>
    <w:rsid w:val="00AD10FB"/>
    <w:rsid w:val="00AD1494"/>
    <w:rsid w:val="00AD163A"/>
    <w:rsid w:val="00AD194D"/>
    <w:rsid w:val="00AD1975"/>
    <w:rsid w:val="00AD1B9A"/>
    <w:rsid w:val="00AD2310"/>
    <w:rsid w:val="00AD24A6"/>
    <w:rsid w:val="00AD2807"/>
    <w:rsid w:val="00AD299D"/>
    <w:rsid w:val="00AD2FA0"/>
    <w:rsid w:val="00AD3DAB"/>
    <w:rsid w:val="00AD48D9"/>
    <w:rsid w:val="00AD4CE5"/>
    <w:rsid w:val="00AD4EA8"/>
    <w:rsid w:val="00AD5252"/>
    <w:rsid w:val="00AD525F"/>
    <w:rsid w:val="00AD532F"/>
    <w:rsid w:val="00AD537F"/>
    <w:rsid w:val="00AD58F9"/>
    <w:rsid w:val="00AD6C90"/>
    <w:rsid w:val="00AD70D9"/>
    <w:rsid w:val="00AD7D2C"/>
    <w:rsid w:val="00AD7E4E"/>
    <w:rsid w:val="00AD7E7D"/>
    <w:rsid w:val="00AD7F43"/>
    <w:rsid w:val="00AE0951"/>
    <w:rsid w:val="00AE19EA"/>
    <w:rsid w:val="00AE1C3A"/>
    <w:rsid w:val="00AE2870"/>
    <w:rsid w:val="00AE2CBE"/>
    <w:rsid w:val="00AE321C"/>
    <w:rsid w:val="00AE3460"/>
    <w:rsid w:val="00AE3560"/>
    <w:rsid w:val="00AE3B48"/>
    <w:rsid w:val="00AE3C9B"/>
    <w:rsid w:val="00AE4491"/>
    <w:rsid w:val="00AE44CB"/>
    <w:rsid w:val="00AE5589"/>
    <w:rsid w:val="00AE59B9"/>
    <w:rsid w:val="00AE5A3B"/>
    <w:rsid w:val="00AE6958"/>
    <w:rsid w:val="00AE69E7"/>
    <w:rsid w:val="00AE6FAC"/>
    <w:rsid w:val="00AE714E"/>
    <w:rsid w:val="00AE72C3"/>
    <w:rsid w:val="00AE7C21"/>
    <w:rsid w:val="00AE7D6A"/>
    <w:rsid w:val="00AE7EF2"/>
    <w:rsid w:val="00AF097C"/>
    <w:rsid w:val="00AF0B30"/>
    <w:rsid w:val="00AF0C5B"/>
    <w:rsid w:val="00AF1302"/>
    <w:rsid w:val="00AF143B"/>
    <w:rsid w:val="00AF1D91"/>
    <w:rsid w:val="00AF23A1"/>
    <w:rsid w:val="00AF28EF"/>
    <w:rsid w:val="00AF2D4F"/>
    <w:rsid w:val="00AF376D"/>
    <w:rsid w:val="00AF404B"/>
    <w:rsid w:val="00AF4082"/>
    <w:rsid w:val="00AF4A64"/>
    <w:rsid w:val="00AF4A82"/>
    <w:rsid w:val="00AF4D14"/>
    <w:rsid w:val="00AF50DA"/>
    <w:rsid w:val="00AF56EA"/>
    <w:rsid w:val="00AF59D9"/>
    <w:rsid w:val="00AF5A4D"/>
    <w:rsid w:val="00AF5B37"/>
    <w:rsid w:val="00AF5D85"/>
    <w:rsid w:val="00AF629C"/>
    <w:rsid w:val="00AF6350"/>
    <w:rsid w:val="00AF68AA"/>
    <w:rsid w:val="00AF72DF"/>
    <w:rsid w:val="00AF7E90"/>
    <w:rsid w:val="00B0091A"/>
    <w:rsid w:val="00B00B64"/>
    <w:rsid w:val="00B01066"/>
    <w:rsid w:val="00B0113B"/>
    <w:rsid w:val="00B015C3"/>
    <w:rsid w:val="00B01879"/>
    <w:rsid w:val="00B02928"/>
    <w:rsid w:val="00B02E70"/>
    <w:rsid w:val="00B04C1E"/>
    <w:rsid w:val="00B05240"/>
    <w:rsid w:val="00B05D80"/>
    <w:rsid w:val="00B07ABE"/>
    <w:rsid w:val="00B10043"/>
    <w:rsid w:val="00B1048D"/>
    <w:rsid w:val="00B10F7F"/>
    <w:rsid w:val="00B11039"/>
    <w:rsid w:val="00B11702"/>
    <w:rsid w:val="00B119D7"/>
    <w:rsid w:val="00B11B5B"/>
    <w:rsid w:val="00B1203B"/>
    <w:rsid w:val="00B12506"/>
    <w:rsid w:val="00B14A93"/>
    <w:rsid w:val="00B15146"/>
    <w:rsid w:val="00B15AF7"/>
    <w:rsid w:val="00B15D9A"/>
    <w:rsid w:val="00B15F62"/>
    <w:rsid w:val="00B163B3"/>
    <w:rsid w:val="00B165D8"/>
    <w:rsid w:val="00B165F9"/>
    <w:rsid w:val="00B1686B"/>
    <w:rsid w:val="00B16B01"/>
    <w:rsid w:val="00B16B88"/>
    <w:rsid w:val="00B17447"/>
    <w:rsid w:val="00B17951"/>
    <w:rsid w:val="00B2056D"/>
    <w:rsid w:val="00B2068C"/>
    <w:rsid w:val="00B218D1"/>
    <w:rsid w:val="00B22380"/>
    <w:rsid w:val="00B2274F"/>
    <w:rsid w:val="00B229B8"/>
    <w:rsid w:val="00B22D99"/>
    <w:rsid w:val="00B24337"/>
    <w:rsid w:val="00B24F1A"/>
    <w:rsid w:val="00B25061"/>
    <w:rsid w:val="00B258EF"/>
    <w:rsid w:val="00B2685D"/>
    <w:rsid w:val="00B26ACE"/>
    <w:rsid w:val="00B26D17"/>
    <w:rsid w:val="00B2743C"/>
    <w:rsid w:val="00B27630"/>
    <w:rsid w:val="00B27750"/>
    <w:rsid w:val="00B277D5"/>
    <w:rsid w:val="00B27BF2"/>
    <w:rsid w:val="00B27DA4"/>
    <w:rsid w:val="00B30366"/>
    <w:rsid w:val="00B30678"/>
    <w:rsid w:val="00B30698"/>
    <w:rsid w:val="00B314F4"/>
    <w:rsid w:val="00B315C3"/>
    <w:rsid w:val="00B32203"/>
    <w:rsid w:val="00B33A35"/>
    <w:rsid w:val="00B34A04"/>
    <w:rsid w:val="00B34C88"/>
    <w:rsid w:val="00B34EBA"/>
    <w:rsid w:val="00B35837"/>
    <w:rsid w:val="00B35BC5"/>
    <w:rsid w:val="00B3659E"/>
    <w:rsid w:val="00B365EA"/>
    <w:rsid w:val="00B368CE"/>
    <w:rsid w:val="00B36ABE"/>
    <w:rsid w:val="00B372F7"/>
    <w:rsid w:val="00B378DC"/>
    <w:rsid w:val="00B37A44"/>
    <w:rsid w:val="00B37FFA"/>
    <w:rsid w:val="00B40107"/>
    <w:rsid w:val="00B40261"/>
    <w:rsid w:val="00B40773"/>
    <w:rsid w:val="00B41310"/>
    <w:rsid w:val="00B413CB"/>
    <w:rsid w:val="00B41FC9"/>
    <w:rsid w:val="00B42107"/>
    <w:rsid w:val="00B42201"/>
    <w:rsid w:val="00B422F1"/>
    <w:rsid w:val="00B43249"/>
    <w:rsid w:val="00B43F70"/>
    <w:rsid w:val="00B45261"/>
    <w:rsid w:val="00B45574"/>
    <w:rsid w:val="00B4594C"/>
    <w:rsid w:val="00B45A87"/>
    <w:rsid w:val="00B46323"/>
    <w:rsid w:val="00B46AEA"/>
    <w:rsid w:val="00B46DDE"/>
    <w:rsid w:val="00B4707F"/>
    <w:rsid w:val="00B479DC"/>
    <w:rsid w:val="00B47A0D"/>
    <w:rsid w:val="00B47B7A"/>
    <w:rsid w:val="00B47D6F"/>
    <w:rsid w:val="00B507BC"/>
    <w:rsid w:val="00B50FD8"/>
    <w:rsid w:val="00B51252"/>
    <w:rsid w:val="00B51585"/>
    <w:rsid w:val="00B5181F"/>
    <w:rsid w:val="00B51D96"/>
    <w:rsid w:val="00B5218C"/>
    <w:rsid w:val="00B529C6"/>
    <w:rsid w:val="00B52AFE"/>
    <w:rsid w:val="00B52B73"/>
    <w:rsid w:val="00B52F58"/>
    <w:rsid w:val="00B5371F"/>
    <w:rsid w:val="00B540A7"/>
    <w:rsid w:val="00B54138"/>
    <w:rsid w:val="00B5443D"/>
    <w:rsid w:val="00B551FB"/>
    <w:rsid w:val="00B5524C"/>
    <w:rsid w:val="00B56569"/>
    <w:rsid w:val="00B56679"/>
    <w:rsid w:val="00B5682C"/>
    <w:rsid w:val="00B57618"/>
    <w:rsid w:val="00B604D2"/>
    <w:rsid w:val="00B616EF"/>
    <w:rsid w:val="00B6198C"/>
    <w:rsid w:val="00B61DFA"/>
    <w:rsid w:val="00B61EFC"/>
    <w:rsid w:val="00B61FEF"/>
    <w:rsid w:val="00B62100"/>
    <w:rsid w:val="00B62271"/>
    <w:rsid w:val="00B622B8"/>
    <w:rsid w:val="00B623CB"/>
    <w:rsid w:val="00B62E6D"/>
    <w:rsid w:val="00B62F02"/>
    <w:rsid w:val="00B63098"/>
    <w:rsid w:val="00B63224"/>
    <w:rsid w:val="00B63493"/>
    <w:rsid w:val="00B639CE"/>
    <w:rsid w:val="00B63E81"/>
    <w:rsid w:val="00B64BA7"/>
    <w:rsid w:val="00B64F72"/>
    <w:rsid w:val="00B65056"/>
    <w:rsid w:val="00B654B9"/>
    <w:rsid w:val="00B65C8C"/>
    <w:rsid w:val="00B6613D"/>
    <w:rsid w:val="00B66342"/>
    <w:rsid w:val="00B6635A"/>
    <w:rsid w:val="00B66A25"/>
    <w:rsid w:val="00B6729E"/>
    <w:rsid w:val="00B67467"/>
    <w:rsid w:val="00B67C63"/>
    <w:rsid w:val="00B701A3"/>
    <w:rsid w:val="00B702C9"/>
    <w:rsid w:val="00B7031B"/>
    <w:rsid w:val="00B70CEB"/>
    <w:rsid w:val="00B70DB1"/>
    <w:rsid w:val="00B70DFD"/>
    <w:rsid w:val="00B717C3"/>
    <w:rsid w:val="00B71C14"/>
    <w:rsid w:val="00B72051"/>
    <w:rsid w:val="00B72091"/>
    <w:rsid w:val="00B7243D"/>
    <w:rsid w:val="00B72501"/>
    <w:rsid w:val="00B72869"/>
    <w:rsid w:val="00B72C3E"/>
    <w:rsid w:val="00B73607"/>
    <w:rsid w:val="00B73721"/>
    <w:rsid w:val="00B747A0"/>
    <w:rsid w:val="00B753F6"/>
    <w:rsid w:val="00B760A9"/>
    <w:rsid w:val="00B762A6"/>
    <w:rsid w:val="00B7643B"/>
    <w:rsid w:val="00B771D8"/>
    <w:rsid w:val="00B7796D"/>
    <w:rsid w:val="00B77DC7"/>
    <w:rsid w:val="00B80A49"/>
    <w:rsid w:val="00B80C78"/>
    <w:rsid w:val="00B80F95"/>
    <w:rsid w:val="00B811CB"/>
    <w:rsid w:val="00B8181B"/>
    <w:rsid w:val="00B82601"/>
    <w:rsid w:val="00B826BC"/>
    <w:rsid w:val="00B828DC"/>
    <w:rsid w:val="00B8295C"/>
    <w:rsid w:val="00B82DDF"/>
    <w:rsid w:val="00B83ACB"/>
    <w:rsid w:val="00B8545F"/>
    <w:rsid w:val="00B85B19"/>
    <w:rsid w:val="00B85CE6"/>
    <w:rsid w:val="00B860F9"/>
    <w:rsid w:val="00B863B4"/>
    <w:rsid w:val="00B86882"/>
    <w:rsid w:val="00B86CE5"/>
    <w:rsid w:val="00B8726C"/>
    <w:rsid w:val="00B879C2"/>
    <w:rsid w:val="00B87FA5"/>
    <w:rsid w:val="00B901E5"/>
    <w:rsid w:val="00B90241"/>
    <w:rsid w:val="00B90427"/>
    <w:rsid w:val="00B90634"/>
    <w:rsid w:val="00B90A95"/>
    <w:rsid w:val="00B915FE"/>
    <w:rsid w:val="00B92426"/>
    <w:rsid w:val="00B92A26"/>
    <w:rsid w:val="00B92ED2"/>
    <w:rsid w:val="00B93335"/>
    <w:rsid w:val="00B93B89"/>
    <w:rsid w:val="00B93DCE"/>
    <w:rsid w:val="00B94012"/>
    <w:rsid w:val="00B94E63"/>
    <w:rsid w:val="00B94E90"/>
    <w:rsid w:val="00B95162"/>
    <w:rsid w:val="00B96CE6"/>
    <w:rsid w:val="00B97327"/>
    <w:rsid w:val="00B97DEB"/>
    <w:rsid w:val="00B97F17"/>
    <w:rsid w:val="00B97FAA"/>
    <w:rsid w:val="00BA003D"/>
    <w:rsid w:val="00BA00CB"/>
    <w:rsid w:val="00BA0163"/>
    <w:rsid w:val="00BA0988"/>
    <w:rsid w:val="00BA0EF9"/>
    <w:rsid w:val="00BA120A"/>
    <w:rsid w:val="00BA1303"/>
    <w:rsid w:val="00BA13BA"/>
    <w:rsid w:val="00BA1A05"/>
    <w:rsid w:val="00BA1A21"/>
    <w:rsid w:val="00BA1F71"/>
    <w:rsid w:val="00BA2348"/>
    <w:rsid w:val="00BA2B5E"/>
    <w:rsid w:val="00BA2E49"/>
    <w:rsid w:val="00BA319C"/>
    <w:rsid w:val="00BA3243"/>
    <w:rsid w:val="00BA348D"/>
    <w:rsid w:val="00BA3874"/>
    <w:rsid w:val="00BA426A"/>
    <w:rsid w:val="00BA4544"/>
    <w:rsid w:val="00BA48AA"/>
    <w:rsid w:val="00BA4DF4"/>
    <w:rsid w:val="00BA51A3"/>
    <w:rsid w:val="00BA55E8"/>
    <w:rsid w:val="00BA5A0E"/>
    <w:rsid w:val="00BA5D0F"/>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98C"/>
    <w:rsid w:val="00BB5FBE"/>
    <w:rsid w:val="00BB60DA"/>
    <w:rsid w:val="00BB622D"/>
    <w:rsid w:val="00BB63F7"/>
    <w:rsid w:val="00BB6D53"/>
    <w:rsid w:val="00BB6D80"/>
    <w:rsid w:val="00BB72F4"/>
    <w:rsid w:val="00BB75A4"/>
    <w:rsid w:val="00BC0252"/>
    <w:rsid w:val="00BC05D0"/>
    <w:rsid w:val="00BC07D3"/>
    <w:rsid w:val="00BC12E9"/>
    <w:rsid w:val="00BC1453"/>
    <w:rsid w:val="00BC14E8"/>
    <w:rsid w:val="00BC15CD"/>
    <w:rsid w:val="00BC1EE3"/>
    <w:rsid w:val="00BC2250"/>
    <w:rsid w:val="00BC2416"/>
    <w:rsid w:val="00BC245A"/>
    <w:rsid w:val="00BC341F"/>
    <w:rsid w:val="00BC40B0"/>
    <w:rsid w:val="00BC5209"/>
    <w:rsid w:val="00BC5CB3"/>
    <w:rsid w:val="00BC6226"/>
    <w:rsid w:val="00BC6715"/>
    <w:rsid w:val="00BC6CB0"/>
    <w:rsid w:val="00BC7A00"/>
    <w:rsid w:val="00BC7A75"/>
    <w:rsid w:val="00BC7D6E"/>
    <w:rsid w:val="00BD09C6"/>
    <w:rsid w:val="00BD0ADC"/>
    <w:rsid w:val="00BD0D6B"/>
    <w:rsid w:val="00BD130C"/>
    <w:rsid w:val="00BD15E3"/>
    <w:rsid w:val="00BD19CA"/>
    <w:rsid w:val="00BD1B75"/>
    <w:rsid w:val="00BD2255"/>
    <w:rsid w:val="00BD232E"/>
    <w:rsid w:val="00BD31D5"/>
    <w:rsid w:val="00BD3866"/>
    <w:rsid w:val="00BD387C"/>
    <w:rsid w:val="00BD4559"/>
    <w:rsid w:val="00BD4ABF"/>
    <w:rsid w:val="00BD4EB4"/>
    <w:rsid w:val="00BD5014"/>
    <w:rsid w:val="00BD55D8"/>
    <w:rsid w:val="00BD567D"/>
    <w:rsid w:val="00BD56A9"/>
    <w:rsid w:val="00BD5DCC"/>
    <w:rsid w:val="00BD66A5"/>
    <w:rsid w:val="00BD6B97"/>
    <w:rsid w:val="00BD78C3"/>
    <w:rsid w:val="00BD78DC"/>
    <w:rsid w:val="00BD7D2E"/>
    <w:rsid w:val="00BE0C15"/>
    <w:rsid w:val="00BE0CD5"/>
    <w:rsid w:val="00BE0FC0"/>
    <w:rsid w:val="00BE11DD"/>
    <w:rsid w:val="00BE1661"/>
    <w:rsid w:val="00BE20B9"/>
    <w:rsid w:val="00BE2318"/>
    <w:rsid w:val="00BE2619"/>
    <w:rsid w:val="00BE44C3"/>
    <w:rsid w:val="00BE599E"/>
    <w:rsid w:val="00BE5AE1"/>
    <w:rsid w:val="00BE5C41"/>
    <w:rsid w:val="00BE5D14"/>
    <w:rsid w:val="00BE623C"/>
    <w:rsid w:val="00BE66A1"/>
    <w:rsid w:val="00BE6DDC"/>
    <w:rsid w:val="00BE756B"/>
    <w:rsid w:val="00BF03E6"/>
    <w:rsid w:val="00BF05D7"/>
    <w:rsid w:val="00BF0AD6"/>
    <w:rsid w:val="00BF0FE1"/>
    <w:rsid w:val="00BF1C57"/>
    <w:rsid w:val="00BF20D5"/>
    <w:rsid w:val="00BF23F2"/>
    <w:rsid w:val="00BF26D3"/>
    <w:rsid w:val="00BF434F"/>
    <w:rsid w:val="00BF445D"/>
    <w:rsid w:val="00BF55D2"/>
    <w:rsid w:val="00BF5600"/>
    <w:rsid w:val="00BF561A"/>
    <w:rsid w:val="00BF5C13"/>
    <w:rsid w:val="00BF7197"/>
    <w:rsid w:val="00BF79CA"/>
    <w:rsid w:val="00BF7C68"/>
    <w:rsid w:val="00C0008D"/>
    <w:rsid w:val="00C00398"/>
    <w:rsid w:val="00C004EC"/>
    <w:rsid w:val="00C005CF"/>
    <w:rsid w:val="00C005E2"/>
    <w:rsid w:val="00C009F3"/>
    <w:rsid w:val="00C00AA6"/>
    <w:rsid w:val="00C01CB7"/>
    <w:rsid w:val="00C01E2A"/>
    <w:rsid w:val="00C0227A"/>
    <w:rsid w:val="00C02370"/>
    <w:rsid w:val="00C023BB"/>
    <w:rsid w:val="00C0252B"/>
    <w:rsid w:val="00C026E3"/>
    <w:rsid w:val="00C03570"/>
    <w:rsid w:val="00C036B2"/>
    <w:rsid w:val="00C036DF"/>
    <w:rsid w:val="00C0412B"/>
    <w:rsid w:val="00C04C86"/>
    <w:rsid w:val="00C05015"/>
    <w:rsid w:val="00C055F4"/>
    <w:rsid w:val="00C059B9"/>
    <w:rsid w:val="00C05BF6"/>
    <w:rsid w:val="00C06189"/>
    <w:rsid w:val="00C06293"/>
    <w:rsid w:val="00C0669F"/>
    <w:rsid w:val="00C06F2D"/>
    <w:rsid w:val="00C0702C"/>
    <w:rsid w:val="00C07993"/>
    <w:rsid w:val="00C07C6F"/>
    <w:rsid w:val="00C07EEF"/>
    <w:rsid w:val="00C07F4D"/>
    <w:rsid w:val="00C10010"/>
    <w:rsid w:val="00C101A9"/>
    <w:rsid w:val="00C1046A"/>
    <w:rsid w:val="00C10752"/>
    <w:rsid w:val="00C108F3"/>
    <w:rsid w:val="00C110F7"/>
    <w:rsid w:val="00C11242"/>
    <w:rsid w:val="00C1156F"/>
    <w:rsid w:val="00C11E42"/>
    <w:rsid w:val="00C12DB5"/>
    <w:rsid w:val="00C135CB"/>
    <w:rsid w:val="00C135F6"/>
    <w:rsid w:val="00C139CC"/>
    <w:rsid w:val="00C14DAB"/>
    <w:rsid w:val="00C14E52"/>
    <w:rsid w:val="00C150ED"/>
    <w:rsid w:val="00C152C6"/>
    <w:rsid w:val="00C15C1F"/>
    <w:rsid w:val="00C15CF1"/>
    <w:rsid w:val="00C15D46"/>
    <w:rsid w:val="00C15DCE"/>
    <w:rsid w:val="00C166B0"/>
    <w:rsid w:val="00C16794"/>
    <w:rsid w:val="00C16F95"/>
    <w:rsid w:val="00C17A06"/>
    <w:rsid w:val="00C202B3"/>
    <w:rsid w:val="00C20525"/>
    <w:rsid w:val="00C20B80"/>
    <w:rsid w:val="00C20EDC"/>
    <w:rsid w:val="00C21606"/>
    <w:rsid w:val="00C221BC"/>
    <w:rsid w:val="00C224E7"/>
    <w:rsid w:val="00C231EB"/>
    <w:rsid w:val="00C23532"/>
    <w:rsid w:val="00C23AC1"/>
    <w:rsid w:val="00C24274"/>
    <w:rsid w:val="00C2466A"/>
    <w:rsid w:val="00C247A2"/>
    <w:rsid w:val="00C2500B"/>
    <w:rsid w:val="00C253B6"/>
    <w:rsid w:val="00C2593B"/>
    <w:rsid w:val="00C25D4F"/>
    <w:rsid w:val="00C25F35"/>
    <w:rsid w:val="00C260CA"/>
    <w:rsid w:val="00C261FD"/>
    <w:rsid w:val="00C26390"/>
    <w:rsid w:val="00C266B0"/>
    <w:rsid w:val="00C2684A"/>
    <w:rsid w:val="00C268AE"/>
    <w:rsid w:val="00C26922"/>
    <w:rsid w:val="00C269EC"/>
    <w:rsid w:val="00C26D21"/>
    <w:rsid w:val="00C274BF"/>
    <w:rsid w:val="00C275A3"/>
    <w:rsid w:val="00C27F6D"/>
    <w:rsid w:val="00C30345"/>
    <w:rsid w:val="00C303DA"/>
    <w:rsid w:val="00C30689"/>
    <w:rsid w:val="00C3087B"/>
    <w:rsid w:val="00C30FC8"/>
    <w:rsid w:val="00C31EDB"/>
    <w:rsid w:val="00C31F19"/>
    <w:rsid w:val="00C3234D"/>
    <w:rsid w:val="00C325F2"/>
    <w:rsid w:val="00C32651"/>
    <w:rsid w:val="00C32818"/>
    <w:rsid w:val="00C333B0"/>
    <w:rsid w:val="00C33C19"/>
    <w:rsid w:val="00C33E80"/>
    <w:rsid w:val="00C3439D"/>
    <w:rsid w:val="00C34E44"/>
    <w:rsid w:val="00C34EBA"/>
    <w:rsid w:val="00C3532D"/>
    <w:rsid w:val="00C3577D"/>
    <w:rsid w:val="00C35D1A"/>
    <w:rsid w:val="00C36409"/>
    <w:rsid w:val="00C36879"/>
    <w:rsid w:val="00C37283"/>
    <w:rsid w:val="00C376FB"/>
    <w:rsid w:val="00C37E5E"/>
    <w:rsid w:val="00C41079"/>
    <w:rsid w:val="00C415F9"/>
    <w:rsid w:val="00C41AE9"/>
    <w:rsid w:val="00C4240D"/>
    <w:rsid w:val="00C425E4"/>
    <w:rsid w:val="00C43049"/>
    <w:rsid w:val="00C43ACF"/>
    <w:rsid w:val="00C43B39"/>
    <w:rsid w:val="00C43BA8"/>
    <w:rsid w:val="00C44051"/>
    <w:rsid w:val="00C4405B"/>
    <w:rsid w:val="00C44766"/>
    <w:rsid w:val="00C44A5D"/>
    <w:rsid w:val="00C44A78"/>
    <w:rsid w:val="00C44CAB"/>
    <w:rsid w:val="00C4523B"/>
    <w:rsid w:val="00C452F2"/>
    <w:rsid w:val="00C45B2D"/>
    <w:rsid w:val="00C461EE"/>
    <w:rsid w:val="00C46952"/>
    <w:rsid w:val="00C46A7E"/>
    <w:rsid w:val="00C46E62"/>
    <w:rsid w:val="00C50571"/>
    <w:rsid w:val="00C505A7"/>
    <w:rsid w:val="00C50763"/>
    <w:rsid w:val="00C50873"/>
    <w:rsid w:val="00C50D6B"/>
    <w:rsid w:val="00C50D90"/>
    <w:rsid w:val="00C51641"/>
    <w:rsid w:val="00C517DA"/>
    <w:rsid w:val="00C51FC3"/>
    <w:rsid w:val="00C530AE"/>
    <w:rsid w:val="00C53845"/>
    <w:rsid w:val="00C53A7F"/>
    <w:rsid w:val="00C53CA0"/>
    <w:rsid w:val="00C53E8D"/>
    <w:rsid w:val="00C54241"/>
    <w:rsid w:val="00C542F4"/>
    <w:rsid w:val="00C544F8"/>
    <w:rsid w:val="00C55E55"/>
    <w:rsid w:val="00C56589"/>
    <w:rsid w:val="00C56FCC"/>
    <w:rsid w:val="00C57360"/>
    <w:rsid w:val="00C5789A"/>
    <w:rsid w:val="00C601A9"/>
    <w:rsid w:val="00C60447"/>
    <w:rsid w:val="00C60B1C"/>
    <w:rsid w:val="00C60F71"/>
    <w:rsid w:val="00C61239"/>
    <w:rsid w:val="00C613F7"/>
    <w:rsid w:val="00C61407"/>
    <w:rsid w:val="00C61ABD"/>
    <w:rsid w:val="00C6218B"/>
    <w:rsid w:val="00C621F6"/>
    <w:rsid w:val="00C62762"/>
    <w:rsid w:val="00C62FDE"/>
    <w:rsid w:val="00C63053"/>
    <w:rsid w:val="00C633AF"/>
    <w:rsid w:val="00C639A7"/>
    <w:rsid w:val="00C63B69"/>
    <w:rsid w:val="00C63DC9"/>
    <w:rsid w:val="00C64739"/>
    <w:rsid w:val="00C6495D"/>
    <w:rsid w:val="00C64B96"/>
    <w:rsid w:val="00C64C6A"/>
    <w:rsid w:val="00C64E79"/>
    <w:rsid w:val="00C64FC3"/>
    <w:rsid w:val="00C65024"/>
    <w:rsid w:val="00C65853"/>
    <w:rsid w:val="00C65DFF"/>
    <w:rsid w:val="00C664DA"/>
    <w:rsid w:val="00C664DF"/>
    <w:rsid w:val="00C66764"/>
    <w:rsid w:val="00C667B5"/>
    <w:rsid w:val="00C66846"/>
    <w:rsid w:val="00C66CE2"/>
    <w:rsid w:val="00C67553"/>
    <w:rsid w:val="00C6780A"/>
    <w:rsid w:val="00C67ABB"/>
    <w:rsid w:val="00C67EB9"/>
    <w:rsid w:val="00C7012F"/>
    <w:rsid w:val="00C702BC"/>
    <w:rsid w:val="00C706C5"/>
    <w:rsid w:val="00C70C98"/>
    <w:rsid w:val="00C713F4"/>
    <w:rsid w:val="00C717E8"/>
    <w:rsid w:val="00C71D53"/>
    <w:rsid w:val="00C7215F"/>
    <w:rsid w:val="00C7382F"/>
    <w:rsid w:val="00C73F7B"/>
    <w:rsid w:val="00C73FDC"/>
    <w:rsid w:val="00C74046"/>
    <w:rsid w:val="00C744DA"/>
    <w:rsid w:val="00C75153"/>
    <w:rsid w:val="00C75316"/>
    <w:rsid w:val="00C7577F"/>
    <w:rsid w:val="00C762B3"/>
    <w:rsid w:val="00C76507"/>
    <w:rsid w:val="00C76650"/>
    <w:rsid w:val="00C76FA9"/>
    <w:rsid w:val="00C77005"/>
    <w:rsid w:val="00C77416"/>
    <w:rsid w:val="00C807E8"/>
    <w:rsid w:val="00C8089A"/>
    <w:rsid w:val="00C80A6A"/>
    <w:rsid w:val="00C80C0F"/>
    <w:rsid w:val="00C8102F"/>
    <w:rsid w:val="00C81985"/>
    <w:rsid w:val="00C81DED"/>
    <w:rsid w:val="00C81F96"/>
    <w:rsid w:val="00C82A4E"/>
    <w:rsid w:val="00C82B71"/>
    <w:rsid w:val="00C82ED2"/>
    <w:rsid w:val="00C82F8F"/>
    <w:rsid w:val="00C83284"/>
    <w:rsid w:val="00C84E2F"/>
    <w:rsid w:val="00C84ED7"/>
    <w:rsid w:val="00C850A6"/>
    <w:rsid w:val="00C858B5"/>
    <w:rsid w:val="00C860AE"/>
    <w:rsid w:val="00C863C1"/>
    <w:rsid w:val="00C8649A"/>
    <w:rsid w:val="00C864E4"/>
    <w:rsid w:val="00C8695D"/>
    <w:rsid w:val="00C869DF"/>
    <w:rsid w:val="00C86FB4"/>
    <w:rsid w:val="00C87004"/>
    <w:rsid w:val="00C87282"/>
    <w:rsid w:val="00C87CEB"/>
    <w:rsid w:val="00C903B2"/>
    <w:rsid w:val="00C90FF8"/>
    <w:rsid w:val="00C910B1"/>
    <w:rsid w:val="00C912EC"/>
    <w:rsid w:val="00C913E2"/>
    <w:rsid w:val="00C9196B"/>
    <w:rsid w:val="00C9196F"/>
    <w:rsid w:val="00C91CA6"/>
    <w:rsid w:val="00C91E3F"/>
    <w:rsid w:val="00C9264E"/>
    <w:rsid w:val="00C927A2"/>
    <w:rsid w:val="00C93419"/>
    <w:rsid w:val="00C93AE3"/>
    <w:rsid w:val="00C9425E"/>
    <w:rsid w:val="00C9452D"/>
    <w:rsid w:val="00C94ED1"/>
    <w:rsid w:val="00C955BA"/>
    <w:rsid w:val="00C96EF9"/>
    <w:rsid w:val="00C9788B"/>
    <w:rsid w:val="00C97D3D"/>
    <w:rsid w:val="00CA0A84"/>
    <w:rsid w:val="00CA110F"/>
    <w:rsid w:val="00CA177D"/>
    <w:rsid w:val="00CA1886"/>
    <w:rsid w:val="00CA1902"/>
    <w:rsid w:val="00CA1DA0"/>
    <w:rsid w:val="00CA2476"/>
    <w:rsid w:val="00CA2803"/>
    <w:rsid w:val="00CA2C90"/>
    <w:rsid w:val="00CA2CA2"/>
    <w:rsid w:val="00CA345E"/>
    <w:rsid w:val="00CA3954"/>
    <w:rsid w:val="00CA397F"/>
    <w:rsid w:val="00CA404E"/>
    <w:rsid w:val="00CA4409"/>
    <w:rsid w:val="00CA4BC7"/>
    <w:rsid w:val="00CA4BF6"/>
    <w:rsid w:val="00CA4D58"/>
    <w:rsid w:val="00CA57C8"/>
    <w:rsid w:val="00CA5C25"/>
    <w:rsid w:val="00CA5C53"/>
    <w:rsid w:val="00CA5D67"/>
    <w:rsid w:val="00CA62A5"/>
    <w:rsid w:val="00CA6477"/>
    <w:rsid w:val="00CA6679"/>
    <w:rsid w:val="00CA6752"/>
    <w:rsid w:val="00CA6AAF"/>
    <w:rsid w:val="00CA6F9B"/>
    <w:rsid w:val="00CA71C5"/>
    <w:rsid w:val="00CA728E"/>
    <w:rsid w:val="00CA7D1F"/>
    <w:rsid w:val="00CB059D"/>
    <w:rsid w:val="00CB17AB"/>
    <w:rsid w:val="00CB1D62"/>
    <w:rsid w:val="00CB1F95"/>
    <w:rsid w:val="00CB224A"/>
    <w:rsid w:val="00CB22D4"/>
    <w:rsid w:val="00CB29C4"/>
    <w:rsid w:val="00CB2B2D"/>
    <w:rsid w:val="00CB2E6F"/>
    <w:rsid w:val="00CB320B"/>
    <w:rsid w:val="00CB3988"/>
    <w:rsid w:val="00CB39A0"/>
    <w:rsid w:val="00CB3C8D"/>
    <w:rsid w:val="00CB3E31"/>
    <w:rsid w:val="00CB3E9E"/>
    <w:rsid w:val="00CB4D12"/>
    <w:rsid w:val="00CB5AEA"/>
    <w:rsid w:val="00CB5B9E"/>
    <w:rsid w:val="00CB5D49"/>
    <w:rsid w:val="00CB5DE8"/>
    <w:rsid w:val="00CB6471"/>
    <w:rsid w:val="00CB6627"/>
    <w:rsid w:val="00CB6E02"/>
    <w:rsid w:val="00CB7330"/>
    <w:rsid w:val="00CB748D"/>
    <w:rsid w:val="00CC1058"/>
    <w:rsid w:val="00CC18C7"/>
    <w:rsid w:val="00CC19FF"/>
    <w:rsid w:val="00CC202B"/>
    <w:rsid w:val="00CC217D"/>
    <w:rsid w:val="00CC24E2"/>
    <w:rsid w:val="00CC2818"/>
    <w:rsid w:val="00CC290F"/>
    <w:rsid w:val="00CC2ECC"/>
    <w:rsid w:val="00CC314E"/>
    <w:rsid w:val="00CC3565"/>
    <w:rsid w:val="00CC3836"/>
    <w:rsid w:val="00CC3867"/>
    <w:rsid w:val="00CC47A5"/>
    <w:rsid w:val="00CC4CCF"/>
    <w:rsid w:val="00CC4EB9"/>
    <w:rsid w:val="00CC55EB"/>
    <w:rsid w:val="00CC5746"/>
    <w:rsid w:val="00CC5E13"/>
    <w:rsid w:val="00CC6119"/>
    <w:rsid w:val="00CC6C15"/>
    <w:rsid w:val="00CC7579"/>
    <w:rsid w:val="00CC7933"/>
    <w:rsid w:val="00CC7CD2"/>
    <w:rsid w:val="00CD04C0"/>
    <w:rsid w:val="00CD06A2"/>
    <w:rsid w:val="00CD0914"/>
    <w:rsid w:val="00CD099D"/>
    <w:rsid w:val="00CD117E"/>
    <w:rsid w:val="00CD160E"/>
    <w:rsid w:val="00CD181F"/>
    <w:rsid w:val="00CD2187"/>
    <w:rsid w:val="00CD26E1"/>
    <w:rsid w:val="00CD282E"/>
    <w:rsid w:val="00CD2B3A"/>
    <w:rsid w:val="00CD2BD8"/>
    <w:rsid w:val="00CD2BE8"/>
    <w:rsid w:val="00CD3596"/>
    <w:rsid w:val="00CD383D"/>
    <w:rsid w:val="00CD39E4"/>
    <w:rsid w:val="00CD3AB0"/>
    <w:rsid w:val="00CD406F"/>
    <w:rsid w:val="00CD4072"/>
    <w:rsid w:val="00CD45BA"/>
    <w:rsid w:val="00CD5044"/>
    <w:rsid w:val="00CD54FB"/>
    <w:rsid w:val="00CD555E"/>
    <w:rsid w:val="00CD57A5"/>
    <w:rsid w:val="00CD61E3"/>
    <w:rsid w:val="00CD69F5"/>
    <w:rsid w:val="00CD6C52"/>
    <w:rsid w:val="00CD7E43"/>
    <w:rsid w:val="00CD7ED5"/>
    <w:rsid w:val="00CE035E"/>
    <w:rsid w:val="00CE0BDF"/>
    <w:rsid w:val="00CE1008"/>
    <w:rsid w:val="00CE1195"/>
    <w:rsid w:val="00CE15F0"/>
    <w:rsid w:val="00CE1DA8"/>
    <w:rsid w:val="00CE1FFD"/>
    <w:rsid w:val="00CE2D56"/>
    <w:rsid w:val="00CE3312"/>
    <w:rsid w:val="00CE38CA"/>
    <w:rsid w:val="00CE3D89"/>
    <w:rsid w:val="00CE492F"/>
    <w:rsid w:val="00CE51FE"/>
    <w:rsid w:val="00CE527B"/>
    <w:rsid w:val="00CE65C7"/>
    <w:rsid w:val="00CE71DD"/>
    <w:rsid w:val="00CE745F"/>
    <w:rsid w:val="00CE74CB"/>
    <w:rsid w:val="00CE78F1"/>
    <w:rsid w:val="00CE7A00"/>
    <w:rsid w:val="00CE7DD9"/>
    <w:rsid w:val="00CF0450"/>
    <w:rsid w:val="00CF092F"/>
    <w:rsid w:val="00CF11A9"/>
    <w:rsid w:val="00CF1BAB"/>
    <w:rsid w:val="00CF1E42"/>
    <w:rsid w:val="00CF1FFC"/>
    <w:rsid w:val="00CF20AF"/>
    <w:rsid w:val="00CF220A"/>
    <w:rsid w:val="00CF224B"/>
    <w:rsid w:val="00CF41AA"/>
    <w:rsid w:val="00CF4B46"/>
    <w:rsid w:val="00CF4C2C"/>
    <w:rsid w:val="00CF4CE7"/>
    <w:rsid w:val="00CF4DAE"/>
    <w:rsid w:val="00CF5024"/>
    <w:rsid w:val="00CF561D"/>
    <w:rsid w:val="00CF56F0"/>
    <w:rsid w:val="00CF5CF8"/>
    <w:rsid w:val="00CF5DCE"/>
    <w:rsid w:val="00CF6147"/>
    <w:rsid w:val="00CF6632"/>
    <w:rsid w:val="00CF66D9"/>
    <w:rsid w:val="00CF6780"/>
    <w:rsid w:val="00CF703F"/>
    <w:rsid w:val="00CF7096"/>
    <w:rsid w:val="00CF7699"/>
    <w:rsid w:val="00CF7A89"/>
    <w:rsid w:val="00CF7AFD"/>
    <w:rsid w:val="00CF7D38"/>
    <w:rsid w:val="00D0058B"/>
    <w:rsid w:val="00D005CB"/>
    <w:rsid w:val="00D007CB"/>
    <w:rsid w:val="00D00C81"/>
    <w:rsid w:val="00D015E1"/>
    <w:rsid w:val="00D017C7"/>
    <w:rsid w:val="00D01A49"/>
    <w:rsid w:val="00D02652"/>
    <w:rsid w:val="00D036CC"/>
    <w:rsid w:val="00D03EA7"/>
    <w:rsid w:val="00D0407B"/>
    <w:rsid w:val="00D04B5A"/>
    <w:rsid w:val="00D05403"/>
    <w:rsid w:val="00D05F9A"/>
    <w:rsid w:val="00D064E0"/>
    <w:rsid w:val="00D06942"/>
    <w:rsid w:val="00D07124"/>
    <w:rsid w:val="00D073C4"/>
    <w:rsid w:val="00D07457"/>
    <w:rsid w:val="00D07B4F"/>
    <w:rsid w:val="00D10577"/>
    <w:rsid w:val="00D1127E"/>
    <w:rsid w:val="00D114BD"/>
    <w:rsid w:val="00D11A8C"/>
    <w:rsid w:val="00D1324B"/>
    <w:rsid w:val="00D13528"/>
    <w:rsid w:val="00D1372C"/>
    <w:rsid w:val="00D141C3"/>
    <w:rsid w:val="00D143EF"/>
    <w:rsid w:val="00D14A05"/>
    <w:rsid w:val="00D14BB8"/>
    <w:rsid w:val="00D15057"/>
    <w:rsid w:val="00D1641C"/>
    <w:rsid w:val="00D167D1"/>
    <w:rsid w:val="00D16E60"/>
    <w:rsid w:val="00D17570"/>
    <w:rsid w:val="00D176EC"/>
    <w:rsid w:val="00D17F36"/>
    <w:rsid w:val="00D17F3E"/>
    <w:rsid w:val="00D20054"/>
    <w:rsid w:val="00D200BC"/>
    <w:rsid w:val="00D20125"/>
    <w:rsid w:val="00D20958"/>
    <w:rsid w:val="00D209A9"/>
    <w:rsid w:val="00D212FC"/>
    <w:rsid w:val="00D21355"/>
    <w:rsid w:val="00D22694"/>
    <w:rsid w:val="00D22F6C"/>
    <w:rsid w:val="00D2319A"/>
    <w:rsid w:val="00D23DCD"/>
    <w:rsid w:val="00D24850"/>
    <w:rsid w:val="00D249C0"/>
    <w:rsid w:val="00D24A59"/>
    <w:rsid w:val="00D24D20"/>
    <w:rsid w:val="00D24E09"/>
    <w:rsid w:val="00D24E9A"/>
    <w:rsid w:val="00D24EA3"/>
    <w:rsid w:val="00D250E8"/>
    <w:rsid w:val="00D25317"/>
    <w:rsid w:val="00D257CF"/>
    <w:rsid w:val="00D2583D"/>
    <w:rsid w:val="00D25C4A"/>
    <w:rsid w:val="00D263F3"/>
    <w:rsid w:val="00D26A21"/>
    <w:rsid w:val="00D270AE"/>
    <w:rsid w:val="00D27262"/>
    <w:rsid w:val="00D27744"/>
    <w:rsid w:val="00D27AC2"/>
    <w:rsid w:val="00D27AE0"/>
    <w:rsid w:val="00D27B4B"/>
    <w:rsid w:val="00D27F2D"/>
    <w:rsid w:val="00D30304"/>
    <w:rsid w:val="00D30998"/>
    <w:rsid w:val="00D30FC6"/>
    <w:rsid w:val="00D31519"/>
    <w:rsid w:val="00D315F9"/>
    <w:rsid w:val="00D3163B"/>
    <w:rsid w:val="00D316B0"/>
    <w:rsid w:val="00D31E69"/>
    <w:rsid w:val="00D31F54"/>
    <w:rsid w:val="00D32361"/>
    <w:rsid w:val="00D3285A"/>
    <w:rsid w:val="00D32FE9"/>
    <w:rsid w:val="00D331B8"/>
    <w:rsid w:val="00D33CA4"/>
    <w:rsid w:val="00D342BD"/>
    <w:rsid w:val="00D3445C"/>
    <w:rsid w:val="00D35077"/>
    <w:rsid w:val="00D35AC6"/>
    <w:rsid w:val="00D35B2B"/>
    <w:rsid w:val="00D36008"/>
    <w:rsid w:val="00D361B4"/>
    <w:rsid w:val="00D364B7"/>
    <w:rsid w:val="00D36CFF"/>
    <w:rsid w:val="00D36E17"/>
    <w:rsid w:val="00D37611"/>
    <w:rsid w:val="00D37AFE"/>
    <w:rsid w:val="00D37DE2"/>
    <w:rsid w:val="00D40DE3"/>
    <w:rsid w:val="00D40FCE"/>
    <w:rsid w:val="00D4150B"/>
    <w:rsid w:val="00D4184E"/>
    <w:rsid w:val="00D41BD0"/>
    <w:rsid w:val="00D41D54"/>
    <w:rsid w:val="00D42878"/>
    <w:rsid w:val="00D42BC6"/>
    <w:rsid w:val="00D42BE7"/>
    <w:rsid w:val="00D42EC2"/>
    <w:rsid w:val="00D4333F"/>
    <w:rsid w:val="00D4343D"/>
    <w:rsid w:val="00D43FA3"/>
    <w:rsid w:val="00D441E4"/>
    <w:rsid w:val="00D44480"/>
    <w:rsid w:val="00D44C0A"/>
    <w:rsid w:val="00D459EC"/>
    <w:rsid w:val="00D45A0C"/>
    <w:rsid w:val="00D45BA9"/>
    <w:rsid w:val="00D45C28"/>
    <w:rsid w:val="00D45F5E"/>
    <w:rsid w:val="00D46EB0"/>
    <w:rsid w:val="00D478F6"/>
    <w:rsid w:val="00D47EE9"/>
    <w:rsid w:val="00D5035F"/>
    <w:rsid w:val="00D50553"/>
    <w:rsid w:val="00D50C1E"/>
    <w:rsid w:val="00D51627"/>
    <w:rsid w:val="00D51EBF"/>
    <w:rsid w:val="00D51FA0"/>
    <w:rsid w:val="00D5215F"/>
    <w:rsid w:val="00D521B0"/>
    <w:rsid w:val="00D528D7"/>
    <w:rsid w:val="00D529FC"/>
    <w:rsid w:val="00D52C05"/>
    <w:rsid w:val="00D53119"/>
    <w:rsid w:val="00D536C4"/>
    <w:rsid w:val="00D5388E"/>
    <w:rsid w:val="00D53C9F"/>
    <w:rsid w:val="00D53E19"/>
    <w:rsid w:val="00D53F12"/>
    <w:rsid w:val="00D55097"/>
    <w:rsid w:val="00D5529E"/>
    <w:rsid w:val="00D554D5"/>
    <w:rsid w:val="00D55C42"/>
    <w:rsid w:val="00D56114"/>
    <w:rsid w:val="00D56378"/>
    <w:rsid w:val="00D56A2F"/>
    <w:rsid w:val="00D5787B"/>
    <w:rsid w:val="00D57C7B"/>
    <w:rsid w:val="00D60694"/>
    <w:rsid w:val="00D60C3A"/>
    <w:rsid w:val="00D60C46"/>
    <w:rsid w:val="00D60EB2"/>
    <w:rsid w:val="00D611BA"/>
    <w:rsid w:val="00D61B93"/>
    <w:rsid w:val="00D624BC"/>
    <w:rsid w:val="00D627BD"/>
    <w:rsid w:val="00D62932"/>
    <w:rsid w:val="00D62CBC"/>
    <w:rsid w:val="00D62E1A"/>
    <w:rsid w:val="00D62E75"/>
    <w:rsid w:val="00D63B3F"/>
    <w:rsid w:val="00D64647"/>
    <w:rsid w:val="00D65552"/>
    <w:rsid w:val="00D65B01"/>
    <w:rsid w:val="00D66070"/>
    <w:rsid w:val="00D662AC"/>
    <w:rsid w:val="00D66774"/>
    <w:rsid w:val="00D670A3"/>
    <w:rsid w:val="00D67A8F"/>
    <w:rsid w:val="00D67CB2"/>
    <w:rsid w:val="00D700BF"/>
    <w:rsid w:val="00D7074E"/>
    <w:rsid w:val="00D70B74"/>
    <w:rsid w:val="00D70BFF"/>
    <w:rsid w:val="00D70E70"/>
    <w:rsid w:val="00D71D60"/>
    <w:rsid w:val="00D72108"/>
    <w:rsid w:val="00D72457"/>
    <w:rsid w:val="00D7294D"/>
    <w:rsid w:val="00D72AD0"/>
    <w:rsid w:val="00D72BA7"/>
    <w:rsid w:val="00D72EB8"/>
    <w:rsid w:val="00D73ABE"/>
    <w:rsid w:val="00D74CAD"/>
    <w:rsid w:val="00D75708"/>
    <w:rsid w:val="00D75F6B"/>
    <w:rsid w:val="00D77341"/>
    <w:rsid w:val="00D77596"/>
    <w:rsid w:val="00D775D8"/>
    <w:rsid w:val="00D77B68"/>
    <w:rsid w:val="00D800CD"/>
    <w:rsid w:val="00D80372"/>
    <w:rsid w:val="00D80627"/>
    <w:rsid w:val="00D8063C"/>
    <w:rsid w:val="00D8074E"/>
    <w:rsid w:val="00D817FA"/>
    <w:rsid w:val="00D82F2B"/>
    <w:rsid w:val="00D83972"/>
    <w:rsid w:val="00D83E43"/>
    <w:rsid w:val="00D83F84"/>
    <w:rsid w:val="00D84033"/>
    <w:rsid w:val="00D84571"/>
    <w:rsid w:val="00D8459E"/>
    <w:rsid w:val="00D84CEE"/>
    <w:rsid w:val="00D85F78"/>
    <w:rsid w:val="00D85FBA"/>
    <w:rsid w:val="00D8676F"/>
    <w:rsid w:val="00D87A98"/>
    <w:rsid w:val="00D87C52"/>
    <w:rsid w:val="00D9075C"/>
    <w:rsid w:val="00D90D3F"/>
    <w:rsid w:val="00D90D53"/>
    <w:rsid w:val="00D91338"/>
    <w:rsid w:val="00D915AB"/>
    <w:rsid w:val="00D925FF"/>
    <w:rsid w:val="00D930E4"/>
    <w:rsid w:val="00D935D2"/>
    <w:rsid w:val="00D93830"/>
    <w:rsid w:val="00D93CC2"/>
    <w:rsid w:val="00D93F17"/>
    <w:rsid w:val="00D944F9"/>
    <w:rsid w:val="00D94502"/>
    <w:rsid w:val="00D949A6"/>
    <w:rsid w:val="00D94B28"/>
    <w:rsid w:val="00D94E64"/>
    <w:rsid w:val="00D94FEF"/>
    <w:rsid w:val="00D9595E"/>
    <w:rsid w:val="00D963C4"/>
    <w:rsid w:val="00D9659E"/>
    <w:rsid w:val="00D96FC1"/>
    <w:rsid w:val="00D9789A"/>
    <w:rsid w:val="00D97D27"/>
    <w:rsid w:val="00D97D49"/>
    <w:rsid w:val="00DA0197"/>
    <w:rsid w:val="00DA0572"/>
    <w:rsid w:val="00DA089E"/>
    <w:rsid w:val="00DA0942"/>
    <w:rsid w:val="00DA126E"/>
    <w:rsid w:val="00DA13F6"/>
    <w:rsid w:val="00DA14D7"/>
    <w:rsid w:val="00DA1CB9"/>
    <w:rsid w:val="00DA1EE4"/>
    <w:rsid w:val="00DA27D7"/>
    <w:rsid w:val="00DA2CEC"/>
    <w:rsid w:val="00DA2FAA"/>
    <w:rsid w:val="00DA3990"/>
    <w:rsid w:val="00DA3AE5"/>
    <w:rsid w:val="00DA4665"/>
    <w:rsid w:val="00DA4809"/>
    <w:rsid w:val="00DA4833"/>
    <w:rsid w:val="00DA49A2"/>
    <w:rsid w:val="00DA4BD8"/>
    <w:rsid w:val="00DA4C12"/>
    <w:rsid w:val="00DA51CC"/>
    <w:rsid w:val="00DA5234"/>
    <w:rsid w:val="00DA5A6D"/>
    <w:rsid w:val="00DA63D6"/>
    <w:rsid w:val="00DA6BEA"/>
    <w:rsid w:val="00DA6C62"/>
    <w:rsid w:val="00DA70ED"/>
    <w:rsid w:val="00DA7226"/>
    <w:rsid w:val="00DA74DB"/>
    <w:rsid w:val="00DA77F0"/>
    <w:rsid w:val="00DA7BF1"/>
    <w:rsid w:val="00DB05BD"/>
    <w:rsid w:val="00DB0BA7"/>
    <w:rsid w:val="00DB1330"/>
    <w:rsid w:val="00DB1364"/>
    <w:rsid w:val="00DB28DF"/>
    <w:rsid w:val="00DB295C"/>
    <w:rsid w:val="00DB2FE2"/>
    <w:rsid w:val="00DB33E5"/>
    <w:rsid w:val="00DB3E52"/>
    <w:rsid w:val="00DB41DB"/>
    <w:rsid w:val="00DB4B60"/>
    <w:rsid w:val="00DB4E5F"/>
    <w:rsid w:val="00DB4EE6"/>
    <w:rsid w:val="00DB501B"/>
    <w:rsid w:val="00DB5334"/>
    <w:rsid w:val="00DB61B0"/>
    <w:rsid w:val="00DB656D"/>
    <w:rsid w:val="00DB67A6"/>
    <w:rsid w:val="00DB68AE"/>
    <w:rsid w:val="00DB77A1"/>
    <w:rsid w:val="00DC0E82"/>
    <w:rsid w:val="00DC1689"/>
    <w:rsid w:val="00DC1836"/>
    <w:rsid w:val="00DC1DB6"/>
    <w:rsid w:val="00DC1DE5"/>
    <w:rsid w:val="00DC1EBC"/>
    <w:rsid w:val="00DC24C7"/>
    <w:rsid w:val="00DC2B32"/>
    <w:rsid w:val="00DC2D1E"/>
    <w:rsid w:val="00DC3A64"/>
    <w:rsid w:val="00DC3DE1"/>
    <w:rsid w:val="00DC41BC"/>
    <w:rsid w:val="00DC4828"/>
    <w:rsid w:val="00DC4ECC"/>
    <w:rsid w:val="00DC5244"/>
    <w:rsid w:val="00DC527A"/>
    <w:rsid w:val="00DC5B9F"/>
    <w:rsid w:val="00DC5EA2"/>
    <w:rsid w:val="00DC6968"/>
    <w:rsid w:val="00DC6CA3"/>
    <w:rsid w:val="00DC6E3B"/>
    <w:rsid w:val="00DC73D1"/>
    <w:rsid w:val="00DC7961"/>
    <w:rsid w:val="00DC7F42"/>
    <w:rsid w:val="00DD0F10"/>
    <w:rsid w:val="00DD12DA"/>
    <w:rsid w:val="00DD131F"/>
    <w:rsid w:val="00DD2EBC"/>
    <w:rsid w:val="00DD3070"/>
    <w:rsid w:val="00DD3382"/>
    <w:rsid w:val="00DD382C"/>
    <w:rsid w:val="00DD4655"/>
    <w:rsid w:val="00DD49AB"/>
    <w:rsid w:val="00DD4B00"/>
    <w:rsid w:val="00DD5A4E"/>
    <w:rsid w:val="00DD5D5A"/>
    <w:rsid w:val="00DD5E72"/>
    <w:rsid w:val="00DD5F10"/>
    <w:rsid w:val="00DD6235"/>
    <w:rsid w:val="00DD67E4"/>
    <w:rsid w:val="00DD7D73"/>
    <w:rsid w:val="00DE052F"/>
    <w:rsid w:val="00DE0B35"/>
    <w:rsid w:val="00DE0B3D"/>
    <w:rsid w:val="00DE1045"/>
    <w:rsid w:val="00DE151C"/>
    <w:rsid w:val="00DE17DD"/>
    <w:rsid w:val="00DE185D"/>
    <w:rsid w:val="00DE28B2"/>
    <w:rsid w:val="00DE29DF"/>
    <w:rsid w:val="00DE2C78"/>
    <w:rsid w:val="00DE301E"/>
    <w:rsid w:val="00DE3D3E"/>
    <w:rsid w:val="00DE4010"/>
    <w:rsid w:val="00DE4616"/>
    <w:rsid w:val="00DE4AAA"/>
    <w:rsid w:val="00DE4BD5"/>
    <w:rsid w:val="00DE5462"/>
    <w:rsid w:val="00DE55C1"/>
    <w:rsid w:val="00DE562F"/>
    <w:rsid w:val="00DE57F9"/>
    <w:rsid w:val="00DE64BE"/>
    <w:rsid w:val="00DE6713"/>
    <w:rsid w:val="00DE6C42"/>
    <w:rsid w:val="00DE7A0E"/>
    <w:rsid w:val="00DF04EA"/>
    <w:rsid w:val="00DF0FA8"/>
    <w:rsid w:val="00DF2042"/>
    <w:rsid w:val="00DF2246"/>
    <w:rsid w:val="00DF22FD"/>
    <w:rsid w:val="00DF2317"/>
    <w:rsid w:val="00DF26FB"/>
    <w:rsid w:val="00DF3085"/>
    <w:rsid w:val="00DF3697"/>
    <w:rsid w:val="00DF38E6"/>
    <w:rsid w:val="00DF3A87"/>
    <w:rsid w:val="00DF3B2D"/>
    <w:rsid w:val="00DF4177"/>
    <w:rsid w:val="00DF41C5"/>
    <w:rsid w:val="00DF4479"/>
    <w:rsid w:val="00DF472D"/>
    <w:rsid w:val="00DF48F7"/>
    <w:rsid w:val="00DF617A"/>
    <w:rsid w:val="00DF6879"/>
    <w:rsid w:val="00DF6F5D"/>
    <w:rsid w:val="00DF7470"/>
    <w:rsid w:val="00DF7520"/>
    <w:rsid w:val="00DF77EC"/>
    <w:rsid w:val="00DF79A8"/>
    <w:rsid w:val="00DF79E1"/>
    <w:rsid w:val="00E00B96"/>
    <w:rsid w:val="00E00C10"/>
    <w:rsid w:val="00E00F45"/>
    <w:rsid w:val="00E010C2"/>
    <w:rsid w:val="00E01585"/>
    <w:rsid w:val="00E01870"/>
    <w:rsid w:val="00E01951"/>
    <w:rsid w:val="00E0239F"/>
    <w:rsid w:val="00E02A63"/>
    <w:rsid w:val="00E02DA4"/>
    <w:rsid w:val="00E03240"/>
    <w:rsid w:val="00E03807"/>
    <w:rsid w:val="00E03952"/>
    <w:rsid w:val="00E0398D"/>
    <w:rsid w:val="00E03E13"/>
    <w:rsid w:val="00E046CA"/>
    <w:rsid w:val="00E04C9E"/>
    <w:rsid w:val="00E04DC9"/>
    <w:rsid w:val="00E05234"/>
    <w:rsid w:val="00E05345"/>
    <w:rsid w:val="00E058B2"/>
    <w:rsid w:val="00E059C9"/>
    <w:rsid w:val="00E05A57"/>
    <w:rsid w:val="00E060DD"/>
    <w:rsid w:val="00E064A9"/>
    <w:rsid w:val="00E064BB"/>
    <w:rsid w:val="00E0698E"/>
    <w:rsid w:val="00E06F41"/>
    <w:rsid w:val="00E06FED"/>
    <w:rsid w:val="00E072AB"/>
    <w:rsid w:val="00E07A56"/>
    <w:rsid w:val="00E07C16"/>
    <w:rsid w:val="00E07C3F"/>
    <w:rsid w:val="00E1062B"/>
    <w:rsid w:val="00E10739"/>
    <w:rsid w:val="00E1169B"/>
    <w:rsid w:val="00E12378"/>
    <w:rsid w:val="00E13480"/>
    <w:rsid w:val="00E13947"/>
    <w:rsid w:val="00E142E0"/>
    <w:rsid w:val="00E14378"/>
    <w:rsid w:val="00E144C8"/>
    <w:rsid w:val="00E15432"/>
    <w:rsid w:val="00E16361"/>
    <w:rsid w:val="00E16BE4"/>
    <w:rsid w:val="00E170FF"/>
    <w:rsid w:val="00E2002F"/>
    <w:rsid w:val="00E2054F"/>
    <w:rsid w:val="00E20BF0"/>
    <w:rsid w:val="00E20CED"/>
    <w:rsid w:val="00E210EC"/>
    <w:rsid w:val="00E21794"/>
    <w:rsid w:val="00E21D10"/>
    <w:rsid w:val="00E226C5"/>
    <w:rsid w:val="00E22A51"/>
    <w:rsid w:val="00E23936"/>
    <w:rsid w:val="00E23AA8"/>
    <w:rsid w:val="00E24588"/>
    <w:rsid w:val="00E25017"/>
    <w:rsid w:val="00E2526F"/>
    <w:rsid w:val="00E260D3"/>
    <w:rsid w:val="00E26150"/>
    <w:rsid w:val="00E262EA"/>
    <w:rsid w:val="00E26679"/>
    <w:rsid w:val="00E2678E"/>
    <w:rsid w:val="00E2680F"/>
    <w:rsid w:val="00E26DE0"/>
    <w:rsid w:val="00E270AD"/>
    <w:rsid w:val="00E27B20"/>
    <w:rsid w:val="00E27DB2"/>
    <w:rsid w:val="00E3047A"/>
    <w:rsid w:val="00E30C34"/>
    <w:rsid w:val="00E30D5D"/>
    <w:rsid w:val="00E30EDA"/>
    <w:rsid w:val="00E31028"/>
    <w:rsid w:val="00E312BE"/>
    <w:rsid w:val="00E314FD"/>
    <w:rsid w:val="00E31631"/>
    <w:rsid w:val="00E31A75"/>
    <w:rsid w:val="00E31D50"/>
    <w:rsid w:val="00E3203C"/>
    <w:rsid w:val="00E3223C"/>
    <w:rsid w:val="00E3233A"/>
    <w:rsid w:val="00E326A7"/>
    <w:rsid w:val="00E333A5"/>
    <w:rsid w:val="00E334AF"/>
    <w:rsid w:val="00E33521"/>
    <w:rsid w:val="00E33B9D"/>
    <w:rsid w:val="00E33BC6"/>
    <w:rsid w:val="00E33DF4"/>
    <w:rsid w:val="00E340AE"/>
    <w:rsid w:val="00E34F71"/>
    <w:rsid w:val="00E3569D"/>
    <w:rsid w:val="00E35832"/>
    <w:rsid w:val="00E358E1"/>
    <w:rsid w:val="00E35B37"/>
    <w:rsid w:val="00E36329"/>
    <w:rsid w:val="00E363C6"/>
    <w:rsid w:val="00E36613"/>
    <w:rsid w:val="00E36A23"/>
    <w:rsid w:val="00E36AE5"/>
    <w:rsid w:val="00E36FEE"/>
    <w:rsid w:val="00E37BBE"/>
    <w:rsid w:val="00E41401"/>
    <w:rsid w:val="00E41A4A"/>
    <w:rsid w:val="00E41E8F"/>
    <w:rsid w:val="00E42195"/>
    <w:rsid w:val="00E42843"/>
    <w:rsid w:val="00E429F1"/>
    <w:rsid w:val="00E42D7A"/>
    <w:rsid w:val="00E42F88"/>
    <w:rsid w:val="00E434EC"/>
    <w:rsid w:val="00E435DD"/>
    <w:rsid w:val="00E43CF0"/>
    <w:rsid w:val="00E44331"/>
    <w:rsid w:val="00E45757"/>
    <w:rsid w:val="00E470A7"/>
    <w:rsid w:val="00E471F9"/>
    <w:rsid w:val="00E472A4"/>
    <w:rsid w:val="00E47311"/>
    <w:rsid w:val="00E47931"/>
    <w:rsid w:val="00E47EE0"/>
    <w:rsid w:val="00E503B1"/>
    <w:rsid w:val="00E503C4"/>
    <w:rsid w:val="00E50DB5"/>
    <w:rsid w:val="00E512A8"/>
    <w:rsid w:val="00E5285D"/>
    <w:rsid w:val="00E52A29"/>
    <w:rsid w:val="00E5357E"/>
    <w:rsid w:val="00E538E8"/>
    <w:rsid w:val="00E54207"/>
    <w:rsid w:val="00E54550"/>
    <w:rsid w:val="00E545E9"/>
    <w:rsid w:val="00E552AA"/>
    <w:rsid w:val="00E563B3"/>
    <w:rsid w:val="00E563B8"/>
    <w:rsid w:val="00E56620"/>
    <w:rsid w:val="00E574A4"/>
    <w:rsid w:val="00E57AE9"/>
    <w:rsid w:val="00E57D04"/>
    <w:rsid w:val="00E60024"/>
    <w:rsid w:val="00E6048F"/>
    <w:rsid w:val="00E606C9"/>
    <w:rsid w:val="00E60AF9"/>
    <w:rsid w:val="00E6187D"/>
    <w:rsid w:val="00E61909"/>
    <w:rsid w:val="00E61D16"/>
    <w:rsid w:val="00E6243C"/>
    <w:rsid w:val="00E625BD"/>
    <w:rsid w:val="00E6310C"/>
    <w:rsid w:val="00E64822"/>
    <w:rsid w:val="00E65113"/>
    <w:rsid w:val="00E651BA"/>
    <w:rsid w:val="00E65CB6"/>
    <w:rsid w:val="00E6628F"/>
    <w:rsid w:val="00E66291"/>
    <w:rsid w:val="00E66382"/>
    <w:rsid w:val="00E66413"/>
    <w:rsid w:val="00E666F3"/>
    <w:rsid w:val="00E66AE2"/>
    <w:rsid w:val="00E670F1"/>
    <w:rsid w:val="00E67212"/>
    <w:rsid w:val="00E6726F"/>
    <w:rsid w:val="00E675BF"/>
    <w:rsid w:val="00E6784D"/>
    <w:rsid w:val="00E7005C"/>
    <w:rsid w:val="00E70466"/>
    <w:rsid w:val="00E7070E"/>
    <w:rsid w:val="00E70E20"/>
    <w:rsid w:val="00E712C8"/>
    <w:rsid w:val="00E712E1"/>
    <w:rsid w:val="00E71AF9"/>
    <w:rsid w:val="00E721B1"/>
    <w:rsid w:val="00E727AD"/>
    <w:rsid w:val="00E72932"/>
    <w:rsid w:val="00E73165"/>
    <w:rsid w:val="00E73D27"/>
    <w:rsid w:val="00E73D71"/>
    <w:rsid w:val="00E743DA"/>
    <w:rsid w:val="00E74693"/>
    <w:rsid w:val="00E766B5"/>
    <w:rsid w:val="00E76A85"/>
    <w:rsid w:val="00E77123"/>
    <w:rsid w:val="00E77B00"/>
    <w:rsid w:val="00E808BE"/>
    <w:rsid w:val="00E80F5A"/>
    <w:rsid w:val="00E815B8"/>
    <w:rsid w:val="00E8202A"/>
    <w:rsid w:val="00E820FE"/>
    <w:rsid w:val="00E826AE"/>
    <w:rsid w:val="00E826C5"/>
    <w:rsid w:val="00E829BC"/>
    <w:rsid w:val="00E82A80"/>
    <w:rsid w:val="00E82ABD"/>
    <w:rsid w:val="00E82C26"/>
    <w:rsid w:val="00E8418A"/>
    <w:rsid w:val="00E841F3"/>
    <w:rsid w:val="00E84332"/>
    <w:rsid w:val="00E844FC"/>
    <w:rsid w:val="00E8455C"/>
    <w:rsid w:val="00E86266"/>
    <w:rsid w:val="00E86E5A"/>
    <w:rsid w:val="00E87564"/>
    <w:rsid w:val="00E87E30"/>
    <w:rsid w:val="00E90517"/>
    <w:rsid w:val="00E91390"/>
    <w:rsid w:val="00E914ED"/>
    <w:rsid w:val="00E91D6E"/>
    <w:rsid w:val="00E91D91"/>
    <w:rsid w:val="00E91E18"/>
    <w:rsid w:val="00E9254F"/>
    <w:rsid w:val="00E93133"/>
    <w:rsid w:val="00E93369"/>
    <w:rsid w:val="00E93466"/>
    <w:rsid w:val="00E93952"/>
    <w:rsid w:val="00E93DDA"/>
    <w:rsid w:val="00E94D0B"/>
    <w:rsid w:val="00E95597"/>
    <w:rsid w:val="00E9600C"/>
    <w:rsid w:val="00E9665E"/>
    <w:rsid w:val="00E975EE"/>
    <w:rsid w:val="00E97912"/>
    <w:rsid w:val="00E97AC9"/>
    <w:rsid w:val="00E97B3B"/>
    <w:rsid w:val="00E97BB5"/>
    <w:rsid w:val="00E97EE1"/>
    <w:rsid w:val="00EA012A"/>
    <w:rsid w:val="00EA0418"/>
    <w:rsid w:val="00EA07B1"/>
    <w:rsid w:val="00EA0EB5"/>
    <w:rsid w:val="00EA0FA7"/>
    <w:rsid w:val="00EA144C"/>
    <w:rsid w:val="00EA1702"/>
    <w:rsid w:val="00EA1C25"/>
    <w:rsid w:val="00EA1CD7"/>
    <w:rsid w:val="00EA1EDF"/>
    <w:rsid w:val="00EA26BB"/>
    <w:rsid w:val="00EA2707"/>
    <w:rsid w:val="00EA3A77"/>
    <w:rsid w:val="00EA4062"/>
    <w:rsid w:val="00EA5B59"/>
    <w:rsid w:val="00EA5C0E"/>
    <w:rsid w:val="00EA61FE"/>
    <w:rsid w:val="00EA6BAB"/>
    <w:rsid w:val="00EA6BD2"/>
    <w:rsid w:val="00EB0141"/>
    <w:rsid w:val="00EB05A7"/>
    <w:rsid w:val="00EB086B"/>
    <w:rsid w:val="00EB09A9"/>
    <w:rsid w:val="00EB1D1F"/>
    <w:rsid w:val="00EB2EC3"/>
    <w:rsid w:val="00EB3206"/>
    <w:rsid w:val="00EB32AE"/>
    <w:rsid w:val="00EB378C"/>
    <w:rsid w:val="00EB3A00"/>
    <w:rsid w:val="00EB3F2B"/>
    <w:rsid w:val="00EB41EE"/>
    <w:rsid w:val="00EB43D3"/>
    <w:rsid w:val="00EB4898"/>
    <w:rsid w:val="00EB4AA5"/>
    <w:rsid w:val="00EB4FB0"/>
    <w:rsid w:val="00EB5682"/>
    <w:rsid w:val="00EB61C1"/>
    <w:rsid w:val="00EB6CEB"/>
    <w:rsid w:val="00EB728E"/>
    <w:rsid w:val="00EB7394"/>
    <w:rsid w:val="00EB7737"/>
    <w:rsid w:val="00EB7B2C"/>
    <w:rsid w:val="00EB7B64"/>
    <w:rsid w:val="00EC0C40"/>
    <w:rsid w:val="00EC0F96"/>
    <w:rsid w:val="00EC1B3E"/>
    <w:rsid w:val="00EC1D7C"/>
    <w:rsid w:val="00EC220A"/>
    <w:rsid w:val="00EC2A17"/>
    <w:rsid w:val="00EC2E34"/>
    <w:rsid w:val="00EC31B7"/>
    <w:rsid w:val="00EC32EE"/>
    <w:rsid w:val="00EC3C15"/>
    <w:rsid w:val="00EC3FDB"/>
    <w:rsid w:val="00EC4076"/>
    <w:rsid w:val="00EC40A1"/>
    <w:rsid w:val="00EC454B"/>
    <w:rsid w:val="00EC5341"/>
    <w:rsid w:val="00EC569E"/>
    <w:rsid w:val="00EC5727"/>
    <w:rsid w:val="00EC59D9"/>
    <w:rsid w:val="00EC5A7B"/>
    <w:rsid w:val="00EC5C78"/>
    <w:rsid w:val="00EC5ED0"/>
    <w:rsid w:val="00EC5F3B"/>
    <w:rsid w:val="00EC6083"/>
    <w:rsid w:val="00EC6149"/>
    <w:rsid w:val="00EC6DD6"/>
    <w:rsid w:val="00EC7579"/>
    <w:rsid w:val="00EC78C0"/>
    <w:rsid w:val="00EC7C72"/>
    <w:rsid w:val="00ED04A0"/>
    <w:rsid w:val="00ED0591"/>
    <w:rsid w:val="00ED060A"/>
    <w:rsid w:val="00ED0A6D"/>
    <w:rsid w:val="00ED0EAC"/>
    <w:rsid w:val="00ED0FBE"/>
    <w:rsid w:val="00ED204E"/>
    <w:rsid w:val="00ED2108"/>
    <w:rsid w:val="00ED214C"/>
    <w:rsid w:val="00ED23C1"/>
    <w:rsid w:val="00ED2437"/>
    <w:rsid w:val="00ED2A49"/>
    <w:rsid w:val="00ED4275"/>
    <w:rsid w:val="00ED47A8"/>
    <w:rsid w:val="00ED4DB4"/>
    <w:rsid w:val="00ED4F5E"/>
    <w:rsid w:val="00ED5104"/>
    <w:rsid w:val="00ED5382"/>
    <w:rsid w:val="00ED660A"/>
    <w:rsid w:val="00ED67C9"/>
    <w:rsid w:val="00ED778A"/>
    <w:rsid w:val="00ED7E02"/>
    <w:rsid w:val="00EE03BB"/>
    <w:rsid w:val="00EE07F2"/>
    <w:rsid w:val="00EE0942"/>
    <w:rsid w:val="00EE0AD4"/>
    <w:rsid w:val="00EE0ED8"/>
    <w:rsid w:val="00EE10A6"/>
    <w:rsid w:val="00EE1A82"/>
    <w:rsid w:val="00EE1F24"/>
    <w:rsid w:val="00EE268E"/>
    <w:rsid w:val="00EE2B44"/>
    <w:rsid w:val="00EE32A9"/>
    <w:rsid w:val="00EE3318"/>
    <w:rsid w:val="00EE34AA"/>
    <w:rsid w:val="00EE3662"/>
    <w:rsid w:val="00EE37B9"/>
    <w:rsid w:val="00EE3E41"/>
    <w:rsid w:val="00EE4921"/>
    <w:rsid w:val="00EE4963"/>
    <w:rsid w:val="00EE4DFB"/>
    <w:rsid w:val="00EE57EE"/>
    <w:rsid w:val="00EE58FE"/>
    <w:rsid w:val="00EE5DA6"/>
    <w:rsid w:val="00EE5E71"/>
    <w:rsid w:val="00EE5F76"/>
    <w:rsid w:val="00EE5F9B"/>
    <w:rsid w:val="00EE611D"/>
    <w:rsid w:val="00EE6547"/>
    <w:rsid w:val="00EE67B7"/>
    <w:rsid w:val="00EE67BF"/>
    <w:rsid w:val="00EE7102"/>
    <w:rsid w:val="00EE7289"/>
    <w:rsid w:val="00EF0692"/>
    <w:rsid w:val="00EF0CE1"/>
    <w:rsid w:val="00EF16B0"/>
    <w:rsid w:val="00EF1B34"/>
    <w:rsid w:val="00EF227B"/>
    <w:rsid w:val="00EF2634"/>
    <w:rsid w:val="00EF3389"/>
    <w:rsid w:val="00EF380C"/>
    <w:rsid w:val="00EF3F7F"/>
    <w:rsid w:val="00EF44E9"/>
    <w:rsid w:val="00EF44FE"/>
    <w:rsid w:val="00EF58B3"/>
    <w:rsid w:val="00EF6002"/>
    <w:rsid w:val="00EF76B1"/>
    <w:rsid w:val="00EF79F9"/>
    <w:rsid w:val="00EF7C60"/>
    <w:rsid w:val="00F00092"/>
    <w:rsid w:val="00F0029C"/>
    <w:rsid w:val="00F0051F"/>
    <w:rsid w:val="00F006FC"/>
    <w:rsid w:val="00F0086D"/>
    <w:rsid w:val="00F00998"/>
    <w:rsid w:val="00F00B58"/>
    <w:rsid w:val="00F00B66"/>
    <w:rsid w:val="00F011D4"/>
    <w:rsid w:val="00F01392"/>
    <w:rsid w:val="00F015F3"/>
    <w:rsid w:val="00F01B4E"/>
    <w:rsid w:val="00F01CBB"/>
    <w:rsid w:val="00F01CDA"/>
    <w:rsid w:val="00F01F12"/>
    <w:rsid w:val="00F028D4"/>
    <w:rsid w:val="00F0297B"/>
    <w:rsid w:val="00F02B06"/>
    <w:rsid w:val="00F0340D"/>
    <w:rsid w:val="00F03463"/>
    <w:rsid w:val="00F03521"/>
    <w:rsid w:val="00F03F13"/>
    <w:rsid w:val="00F042E1"/>
    <w:rsid w:val="00F0430E"/>
    <w:rsid w:val="00F04693"/>
    <w:rsid w:val="00F047FD"/>
    <w:rsid w:val="00F052AF"/>
    <w:rsid w:val="00F058DD"/>
    <w:rsid w:val="00F05AD2"/>
    <w:rsid w:val="00F06331"/>
    <w:rsid w:val="00F06383"/>
    <w:rsid w:val="00F06649"/>
    <w:rsid w:val="00F06F82"/>
    <w:rsid w:val="00F0735A"/>
    <w:rsid w:val="00F073D0"/>
    <w:rsid w:val="00F074B2"/>
    <w:rsid w:val="00F074B8"/>
    <w:rsid w:val="00F075A7"/>
    <w:rsid w:val="00F076AB"/>
    <w:rsid w:val="00F102B9"/>
    <w:rsid w:val="00F104F4"/>
    <w:rsid w:val="00F10AD3"/>
    <w:rsid w:val="00F11021"/>
    <w:rsid w:val="00F11216"/>
    <w:rsid w:val="00F1163C"/>
    <w:rsid w:val="00F11B9C"/>
    <w:rsid w:val="00F11E9F"/>
    <w:rsid w:val="00F11F69"/>
    <w:rsid w:val="00F133AD"/>
    <w:rsid w:val="00F1353B"/>
    <w:rsid w:val="00F14A0B"/>
    <w:rsid w:val="00F14B09"/>
    <w:rsid w:val="00F151A2"/>
    <w:rsid w:val="00F15872"/>
    <w:rsid w:val="00F15EFF"/>
    <w:rsid w:val="00F16210"/>
    <w:rsid w:val="00F166E9"/>
    <w:rsid w:val="00F16AAE"/>
    <w:rsid w:val="00F16B4A"/>
    <w:rsid w:val="00F16D3A"/>
    <w:rsid w:val="00F16DED"/>
    <w:rsid w:val="00F16EAF"/>
    <w:rsid w:val="00F17144"/>
    <w:rsid w:val="00F173AF"/>
    <w:rsid w:val="00F173DF"/>
    <w:rsid w:val="00F2009E"/>
    <w:rsid w:val="00F2029D"/>
    <w:rsid w:val="00F209A8"/>
    <w:rsid w:val="00F20BA7"/>
    <w:rsid w:val="00F20FDB"/>
    <w:rsid w:val="00F217F3"/>
    <w:rsid w:val="00F219E3"/>
    <w:rsid w:val="00F22035"/>
    <w:rsid w:val="00F2224A"/>
    <w:rsid w:val="00F237A1"/>
    <w:rsid w:val="00F23863"/>
    <w:rsid w:val="00F23CA7"/>
    <w:rsid w:val="00F23F88"/>
    <w:rsid w:val="00F241D9"/>
    <w:rsid w:val="00F2560A"/>
    <w:rsid w:val="00F2575D"/>
    <w:rsid w:val="00F2605F"/>
    <w:rsid w:val="00F26065"/>
    <w:rsid w:val="00F26174"/>
    <w:rsid w:val="00F261FD"/>
    <w:rsid w:val="00F269E7"/>
    <w:rsid w:val="00F26A82"/>
    <w:rsid w:val="00F26DE2"/>
    <w:rsid w:val="00F26E10"/>
    <w:rsid w:val="00F274E9"/>
    <w:rsid w:val="00F2795B"/>
    <w:rsid w:val="00F30110"/>
    <w:rsid w:val="00F302DD"/>
    <w:rsid w:val="00F303D3"/>
    <w:rsid w:val="00F30480"/>
    <w:rsid w:val="00F3083F"/>
    <w:rsid w:val="00F30A3B"/>
    <w:rsid w:val="00F31AC8"/>
    <w:rsid w:val="00F31FF1"/>
    <w:rsid w:val="00F32482"/>
    <w:rsid w:val="00F32705"/>
    <w:rsid w:val="00F32B49"/>
    <w:rsid w:val="00F33100"/>
    <w:rsid w:val="00F3314C"/>
    <w:rsid w:val="00F331C9"/>
    <w:rsid w:val="00F33441"/>
    <w:rsid w:val="00F33AFB"/>
    <w:rsid w:val="00F3444E"/>
    <w:rsid w:val="00F34775"/>
    <w:rsid w:val="00F34A57"/>
    <w:rsid w:val="00F34AC6"/>
    <w:rsid w:val="00F36030"/>
    <w:rsid w:val="00F3621E"/>
    <w:rsid w:val="00F36827"/>
    <w:rsid w:val="00F36880"/>
    <w:rsid w:val="00F36FDF"/>
    <w:rsid w:val="00F37698"/>
    <w:rsid w:val="00F378E0"/>
    <w:rsid w:val="00F3795D"/>
    <w:rsid w:val="00F41B66"/>
    <w:rsid w:val="00F41BBA"/>
    <w:rsid w:val="00F41C2E"/>
    <w:rsid w:val="00F41EDF"/>
    <w:rsid w:val="00F423D1"/>
    <w:rsid w:val="00F42AE4"/>
    <w:rsid w:val="00F42CF5"/>
    <w:rsid w:val="00F42D6B"/>
    <w:rsid w:val="00F42EE6"/>
    <w:rsid w:val="00F42FD5"/>
    <w:rsid w:val="00F43720"/>
    <w:rsid w:val="00F43E1D"/>
    <w:rsid w:val="00F44CFD"/>
    <w:rsid w:val="00F4527D"/>
    <w:rsid w:val="00F4540F"/>
    <w:rsid w:val="00F4618F"/>
    <w:rsid w:val="00F469DF"/>
    <w:rsid w:val="00F46E6B"/>
    <w:rsid w:val="00F4745D"/>
    <w:rsid w:val="00F475B7"/>
    <w:rsid w:val="00F47F24"/>
    <w:rsid w:val="00F50D21"/>
    <w:rsid w:val="00F51164"/>
    <w:rsid w:val="00F51872"/>
    <w:rsid w:val="00F51880"/>
    <w:rsid w:val="00F51A10"/>
    <w:rsid w:val="00F5250C"/>
    <w:rsid w:val="00F527CE"/>
    <w:rsid w:val="00F528EA"/>
    <w:rsid w:val="00F52AA0"/>
    <w:rsid w:val="00F53BEC"/>
    <w:rsid w:val="00F5408D"/>
    <w:rsid w:val="00F540C3"/>
    <w:rsid w:val="00F55305"/>
    <w:rsid w:val="00F55EE4"/>
    <w:rsid w:val="00F56007"/>
    <w:rsid w:val="00F56835"/>
    <w:rsid w:val="00F5749F"/>
    <w:rsid w:val="00F5756A"/>
    <w:rsid w:val="00F606AC"/>
    <w:rsid w:val="00F60CB3"/>
    <w:rsid w:val="00F60CFE"/>
    <w:rsid w:val="00F60E4A"/>
    <w:rsid w:val="00F613BF"/>
    <w:rsid w:val="00F613CD"/>
    <w:rsid w:val="00F61760"/>
    <w:rsid w:val="00F61BF8"/>
    <w:rsid w:val="00F61CC2"/>
    <w:rsid w:val="00F62279"/>
    <w:rsid w:val="00F626FD"/>
    <w:rsid w:val="00F62987"/>
    <w:rsid w:val="00F62A39"/>
    <w:rsid w:val="00F62E02"/>
    <w:rsid w:val="00F632E5"/>
    <w:rsid w:val="00F63596"/>
    <w:rsid w:val="00F636BD"/>
    <w:rsid w:val="00F63C24"/>
    <w:rsid w:val="00F63C34"/>
    <w:rsid w:val="00F64297"/>
    <w:rsid w:val="00F644D0"/>
    <w:rsid w:val="00F64718"/>
    <w:rsid w:val="00F64735"/>
    <w:rsid w:val="00F64796"/>
    <w:rsid w:val="00F64B1D"/>
    <w:rsid w:val="00F65073"/>
    <w:rsid w:val="00F65152"/>
    <w:rsid w:val="00F657D3"/>
    <w:rsid w:val="00F65898"/>
    <w:rsid w:val="00F659E3"/>
    <w:rsid w:val="00F65E45"/>
    <w:rsid w:val="00F65E5A"/>
    <w:rsid w:val="00F6669E"/>
    <w:rsid w:val="00F678B7"/>
    <w:rsid w:val="00F67E8B"/>
    <w:rsid w:val="00F67EE6"/>
    <w:rsid w:val="00F70E71"/>
    <w:rsid w:val="00F7168F"/>
    <w:rsid w:val="00F71AAE"/>
    <w:rsid w:val="00F7202B"/>
    <w:rsid w:val="00F72159"/>
    <w:rsid w:val="00F72363"/>
    <w:rsid w:val="00F7251E"/>
    <w:rsid w:val="00F7275A"/>
    <w:rsid w:val="00F72A1B"/>
    <w:rsid w:val="00F72A1F"/>
    <w:rsid w:val="00F72C0C"/>
    <w:rsid w:val="00F73935"/>
    <w:rsid w:val="00F73CD6"/>
    <w:rsid w:val="00F74135"/>
    <w:rsid w:val="00F74A96"/>
    <w:rsid w:val="00F74CFF"/>
    <w:rsid w:val="00F762AC"/>
    <w:rsid w:val="00F767EC"/>
    <w:rsid w:val="00F76A34"/>
    <w:rsid w:val="00F770AA"/>
    <w:rsid w:val="00F8032A"/>
    <w:rsid w:val="00F803F3"/>
    <w:rsid w:val="00F80558"/>
    <w:rsid w:val="00F813B6"/>
    <w:rsid w:val="00F81DA8"/>
    <w:rsid w:val="00F81DD8"/>
    <w:rsid w:val="00F81DFD"/>
    <w:rsid w:val="00F82066"/>
    <w:rsid w:val="00F82133"/>
    <w:rsid w:val="00F8408C"/>
    <w:rsid w:val="00F84936"/>
    <w:rsid w:val="00F84C6F"/>
    <w:rsid w:val="00F85431"/>
    <w:rsid w:val="00F856F9"/>
    <w:rsid w:val="00F8678A"/>
    <w:rsid w:val="00F908AC"/>
    <w:rsid w:val="00F909DA"/>
    <w:rsid w:val="00F910E3"/>
    <w:rsid w:val="00F91327"/>
    <w:rsid w:val="00F9153E"/>
    <w:rsid w:val="00F92340"/>
    <w:rsid w:val="00F9245A"/>
    <w:rsid w:val="00F93BE5"/>
    <w:rsid w:val="00F94573"/>
    <w:rsid w:val="00F94768"/>
    <w:rsid w:val="00F9506D"/>
    <w:rsid w:val="00F9515F"/>
    <w:rsid w:val="00F95438"/>
    <w:rsid w:val="00F9615D"/>
    <w:rsid w:val="00F963C7"/>
    <w:rsid w:val="00F96D8C"/>
    <w:rsid w:val="00F96DB0"/>
    <w:rsid w:val="00F96DFE"/>
    <w:rsid w:val="00F97441"/>
    <w:rsid w:val="00F97675"/>
    <w:rsid w:val="00FA0513"/>
    <w:rsid w:val="00FA08B7"/>
    <w:rsid w:val="00FA0CED"/>
    <w:rsid w:val="00FA1443"/>
    <w:rsid w:val="00FA1789"/>
    <w:rsid w:val="00FA1821"/>
    <w:rsid w:val="00FA1DEE"/>
    <w:rsid w:val="00FA223B"/>
    <w:rsid w:val="00FA251B"/>
    <w:rsid w:val="00FA3553"/>
    <w:rsid w:val="00FA3575"/>
    <w:rsid w:val="00FA3EDF"/>
    <w:rsid w:val="00FA471A"/>
    <w:rsid w:val="00FA47EE"/>
    <w:rsid w:val="00FA587A"/>
    <w:rsid w:val="00FA5E05"/>
    <w:rsid w:val="00FA6500"/>
    <w:rsid w:val="00FA7A49"/>
    <w:rsid w:val="00FA7D32"/>
    <w:rsid w:val="00FA7DCD"/>
    <w:rsid w:val="00FA7ED5"/>
    <w:rsid w:val="00FB0D40"/>
    <w:rsid w:val="00FB11DE"/>
    <w:rsid w:val="00FB1564"/>
    <w:rsid w:val="00FB1B3C"/>
    <w:rsid w:val="00FB23B6"/>
    <w:rsid w:val="00FB25B2"/>
    <w:rsid w:val="00FB288D"/>
    <w:rsid w:val="00FB29C1"/>
    <w:rsid w:val="00FB33C0"/>
    <w:rsid w:val="00FB43F3"/>
    <w:rsid w:val="00FB46D0"/>
    <w:rsid w:val="00FB4927"/>
    <w:rsid w:val="00FB4B15"/>
    <w:rsid w:val="00FB4B7B"/>
    <w:rsid w:val="00FB5251"/>
    <w:rsid w:val="00FB58E2"/>
    <w:rsid w:val="00FB5CC7"/>
    <w:rsid w:val="00FB5D86"/>
    <w:rsid w:val="00FB5EF9"/>
    <w:rsid w:val="00FB6295"/>
    <w:rsid w:val="00FB6A68"/>
    <w:rsid w:val="00FB6D0C"/>
    <w:rsid w:val="00FB75CE"/>
    <w:rsid w:val="00FC0084"/>
    <w:rsid w:val="00FC016C"/>
    <w:rsid w:val="00FC0D81"/>
    <w:rsid w:val="00FC0F33"/>
    <w:rsid w:val="00FC11F2"/>
    <w:rsid w:val="00FC1864"/>
    <w:rsid w:val="00FC18F7"/>
    <w:rsid w:val="00FC1911"/>
    <w:rsid w:val="00FC1AD8"/>
    <w:rsid w:val="00FC1D32"/>
    <w:rsid w:val="00FC25AF"/>
    <w:rsid w:val="00FC2662"/>
    <w:rsid w:val="00FC2705"/>
    <w:rsid w:val="00FC29D0"/>
    <w:rsid w:val="00FC2CD9"/>
    <w:rsid w:val="00FC2D2B"/>
    <w:rsid w:val="00FC3069"/>
    <w:rsid w:val="00FC331A"/>
    <w:rsid w:val="00FC3505"/>
    <w:rsid w:val="00FC39DA"/>
    <w:rsid w:val="00FC3B9A"/>
    <w:rsid w:val="00FC3C36"/>
    <w:rsid w:val="00FC3D6E"/>
    <w:rsid w:val="00FC425A"/>
    <w:rsid w:val="00FC4E72"/>
    <w:rsid w:val="00FC50CD"/>
    <w:rsid w:val="00FC533C"/>
    <w:rsid w:val="00FC5918"/>
    <w:rsid w:val="00FC5B64"/>
    <w:rsid w:val="00FC5BA8"/>
    <w:rsid w:val="00FC5C8A"/>
    <w:rsid w:val="00FC5E42"/>
    <w:rsid w:val="00FC5F0B"/>
    <w:rsid w:val="00FC686F"/>
    <w:rsid w:val="00FC6D28"/>
    <w:rsid w:val="00FC7BE2"/>
    <w:rsid w:val="00FD006C"/>
    <w:rsid w:val="00FD186A"/>
    <w:rsid w:val="00FD1C4A"/>
    <w:rsid w:val="00FD1F19"/>
    <w:rsid w:val="00FD1F52"/>
    <w:rsid w:val="00FD2132"/>
    <w:rsid w:val="00FD225B"/>
    <w:rsid w:val="00FD326C"/>
    <w:rsid w:val="00FD33F2"/>
    <w:rsid w:val="00FD410C"/>
    <w:rsid w:val="00FD45CE"/>
    <w:rsid w:val="00FD461A"/>
    <w:rsid w:val="00FD4A91"/>
    <w:rsid w:val="00FD4CBB"/>
    <w:rsid w:val="00FD5317"/>
    <w:rsid w:val="00FD5788"/>
    <w:rsid w:val="00FD5BFE"/>
    <w:rsid w:val="00FD64ED"/>
    <w:rsid w:val="00FD65AE"/>
    <w:rsid w:val="00FE19B1"/>
    <w:rsid w:val="00FE23B4"/>
    <w:rsid w:val="00FE2BF2"/>
    <w:rsid w:val="00FE2DC5"/>
    <w:rsid w:val="00FE300E"/>
    <w:rsid w:val="00FE34D3"/>
    <w:rsid w:val="00FE3567"/>
    <w:rsid w:val="00FE375F"/>
    <w:rsid w:val="00FE379E"/>
    <w:rsid w:val="00FE3DA5"/>
    <w:rsid w:val="00FE4094"/>
    <w:rsid w:val="00FE416E"/>
    <w:rsid w:val="00FE45DB"/>
    <w:rsid w:val="00FE5DE6"/>
    <w:rsid w:val="00FE68F0"/>
    <w:rsid w:val="00FE7327"/>
    <w:rsid w:val="00FE781C"/>
    <w:rsid w:val="00FE7BB0"/>
    <w:rsid w:val="00FF0151"/>
    <w:rsid w:val="00FF0415"/>
    <w:rsid w:val="00FF04A3"/>
    <w:rsid w:val="00FF0745"/>
    <w:rsid w:val="00FF11B9"/>
    <w:rsid w:val="00FF1B28"/>
    <w:rsid w:val="00FF1CDB"/>
    <w:rsid w:val="00FF1E85"/>
    <w:rsid w:val="00FF1F7E"/>
    <w:rsid w:val="00FF1F91"/>
    <w:rsid w:val="00FF24F5"/>
    <w:rsid w:val="00FF27CD"/>
    <w:rsid w:val="00FF297D"/>
    <w:rsid w:val="00FF2F37"/>
    <w:rsid w:val="00FF35A9"/>
    <w:rsid w:val="00FF39FF"/>
    <w:rsid w:val="00FF3E4A"/>
    <w:rsid w:val="00FF3EAF"/>
    <w:rsid w:val="00FF3F9F"/>
    <w:rsid w:val="00FF3FE9"/>
    <w:rsid w:val="00FF3FF9"/>
    <w:rsid w:val="00FF408A"/>
    <w:rsid w:val="00FF433A"/>
    <w:rsid w:val="00FF4F8C"/>
    <w:rsid w:val="00FF511B"/>
    <w:rsid w:val="00FF60D6"/>
    <w:rsid w:val="00FF62D1"/>
    <w:rsid w:val="00FF652A"/>
    <w:rsid w:val="00FF665D"/>
    <w:rsid w:val="00FF6673"/>
    <w:rsid w:val="00FF6ED6"/>
    <w:rsid w:val="00FF7373"/>
    <w:rsid w:val="00FF7814"/>
    <w:rsid w:val="00FF7984"/>
    <w:rsid w:val="00FF7B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aliases w:val="cap,cap Char,Caption Char,Caption Char1 Char,cap Char Char1,Caption Char Char1 Char,cap Char2,题注,cap1,cap2,cap11,Légende-figure,Légende-figure Char,Beschrifubg,Beschriftung Char,label,cap11 Char,cap11 Char Char Char,captions,180-Table-Caption,条目"/>
    <w:basedOn w:val="a"/>
    <w:next w:val="a"/>
    <w:link w:val="Char2"/>
    <w:uiPriority w:val="35"/>
    <w:unhideWhenUsed/>
    <w:qFormat/>
    <w:locked/>
    <w:rsid w:val="00C6780A"/>
    <w:rPr>
      <w:b/>
      <w:bCs/>
      <w:szCs w:val="20"/>
    </w:rPr>
  </w:style>
  <w:style w:type="paragraph" w:styleId="a8">
    <w:name w:val="Balloon Text"/>
    <w:basedOn w:val="a"/>
    <w:link w:val="Char3"/>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3">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aliases w:val="TableGrid,ST Table,Check(v),Table-Text,x Tableau page de garde"/>
    <w:basedOn w:val="a2"/>
    <w:uiPriority w:val="39"/>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4"/>
    <w:locked/>
    <w:rsid w:val="00B01879"/>
    <w:pPr>
      <w:widowControl/>
      <w:autoSpaceDE/>
      <w:autoSpaceDN/>
      <w:spacing w:after="120"/>
      <w:jc w:val="left"/>
    </w:pPr>
    <w:rPr>
      <w:rFonts w:eastAsia="Times New Roman"/>
      <w:kern w:val="0"/>
      <w:szCs w:val="20"/>
      <w:lang w:eastAsia="en-US"/>
    </w:rPr>
  </w:style>
  <w:style w:type="character" w:customStyle="1" w:styleId="Char4">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5"/>
    <w:unhideWhenUsed/>
    <w:qFormat/>
    <w:locked/>
    <w:rsid w:val="007B263E"/>
    <w:pPr>
      <w:jc w:val="left"/>
    </w:pPr>
  </w:style>
  <w:style w:type="character" w:customStyle="1" w:styleId="Char5">
    <w:name w:val="메모 텍스트 Char"/>
    <w:basedOn w:val="a1"/>
    <w:link w:val="ac"/>
    <w:uiPriority w:val="99"/>
    <w:qFormat/>
    <w:rsid w:val="007B263E"/>
  </w:style>
  <w:style w:type="paragraph" w:styleId="ad">
    <w:name w:val="annotation subject"/>
    <w:basedOn w:val="ac"/>
    <w:next w:val="ac"/>
    <w:link w:val="Char6"/>
    <w:uiPriority w:val="99"/>
    <w:semiHidden/>
    <w:unhideWhenUsed/>
    <w:locked/>
    <w:rsid w:val="007B263E"/>
    <w:rPr>
      <w:b/>
      <w:bCs/>
    </w:rPr>
  </w:style>
  <w:style w:type="character" w:customStyle="1" w:styleId="Char6">
    <w:name w:val="메모 주제 Char"/>
    <w:basedOn w:val="Char5"/>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7"/>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7">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link w:val="TAHCar"/>
    <w:qFormat/>
    <w:rsid w:val="00304E96"/>
    <w:rPr>
      <w:b/>
    </w:rPr>
  </w:style>
  <w:style w:type="paragraph" w:customStyle="1" w:styleId="TAC0">
    <w:name w:val="TAC"/>
    <w:basedOn w:val="TAL"/>
    <w:link w:val="TACChar"/>
    <w:qFormat/>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qFormat/>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customStyle="1" w:styleId="TACChar">
    <w:name w:val="TAC Char"/>
    <w:link w:val="TAC0"/>
    <w:qFormat/>
    <w:locked/>
    <w:rsid w:val="000C4AC7"/>
    <w:rPr>
      <w:rFonts w:ascii="Arial" w:eastAsia="Times New Roman" w:hAnsi="Arial" w:cs="Times New Roman"/>
      <w:kern w:val="0"/>
      <w:sz w:val="18"/>
      <w:szCs w:val="20"/>
      <w:lang w:val="en-GB" w:eastAsia="en-US"/>
    </w:rPr>
  </w:style>
  <w:style w:type="character" w:customStyle="1" w:styleId="TAHCar">
    <w:name w:val="TAH Car"/>
    <w:link w:val="TAH0"/>
    <w:qFormat/>
    <w:rsid w:val="000C4AC7"/>
    <w:rPr>
      <w:rFonts w:ascii="Arial" w:eastAsia="Times New Roman" w:hAnsi="Arial" w:cs="Times New Roman"/>
      <w:b/>
      <w:kern w:val="0"/>
      <w:sz w:val="18"/>
      <w:szCs w:val="20"/>
      <w:lang w:val="en-GB" w:eastAsia="en-US"/>
    </w:rPr>
  </w:style>
  <w:style w:type="paragraph" w:customStyle="1" w:styleId="11">
    <w:name w:val="목록 단락1"/>
    <w:basedOn w:val="a"/>
    <w:uiPriority w:val="34"/>
    <w:qFormat/>
    <w:rsid w:val="00163AD4"/>
    <w:pPr>
      <w:widowControl/>
      <w:overflowPunct w:val="0"/>
      <w:adjustRightInd w:val="0"/>
      <w:spacing w:after="120"/>
      <w:ind w:left="720"/>
      <w:contextualSpacing/>
      <w:textAlignment w:val="baseline"/>
    </w:pPr>
    <w:rPr>
      <w:rFonts w:ascii="Arial" w:eastAsia="Times New Roman" w:hAnsi="Arial"/>
      <w:kern w:val="0"/>
      <w:sz w:val="20"/>
      <w:szCs w:val="20"/>
      <w:lang w:eastAsia="zh-CN"/>
    </w:rPr>
  </w:style>
  <w:style w:type="character" w:styleId="af2">
    <w:name w:val="Strong"/>
    <w:basedOn w:val="a1"/>
    <w:uiPriority w:val="22"/>
    <w:qFormat/>
    <w:locked/>
    <w:rsid w:val="005E357A"/>
    <w:rPr>
      <w:b/>
      <w:bCs/>
    </w:rPr>
  </w:style>
  <w:style w:type="character" w:customStyle="1" w:styleId="katex-mathml">
    <w:name w:val="katex-mathml"/>
    <w:basedOn w:val="a1"/>
    <w:rsid w:val="006B3770"/>
  </w:style>
  <w:style w:type="character" w:customStyle="1" w:styleId="mopen">
    <w:name w:val="mopen"/>
    <w:basedOn w:val="a1"/>
    <w:rsid w:val="006B3770"/>
  </w:style>
  <w:style w:type="character" w:customStyle="1" w:styleId="mord">
    <w:name w:val="mord"/>
    <w:basedOn w:val="a1"/>
    <w:rsid w:val="006B3770"/>
  </w:style>
  <w:style w:type="character" w:customStyle="1" w:styleId="vlist-s">
    <w:name w:val="vlist-s"/>
    <w:basedOn w:val="a1"/>
    <w:rsid w:val="006B3770"/>
  </w:style>
  <w:style w:type="character" w:customStyle="1" w:styleId="mpunct">
    <w:name w:val="mpunct"/>
    <w:basedOn w:val="a1"/>
    <w:rsid w:val="006B3770"/>
  </w:style>
  <w:style w:type="character" w:customStyle="1" w:styleId="mclose">
    <w:name w:val="mclose"/>
    <w:basedOn w:val="a1"/>
    <w:rsid w:val="006B3770"/>
  </w:style>
  <w:style w:type="paragraph" w:customStyle="1" w:styleId="EQ">
    <w:name w:val="EQ"/>
    <w:basedOn w:val="a"/>
    <w:next w:val="a"/>
    <w:qFormat/>
    <w:rsid w:val="001B163E"/>
    <w:pPr>
      <w:keepLines/>
      <w:widowControl/>
      <w:tabs>
        <w:tab w:val="center" w:pos="4536"/>
        <w:tab w:val="right" w:pos="9072"/>
      </w:tabs>
      <w:overflowPunct w:val="0"/>
      <w:adjustRightInd w:val="0"/>
      <w:jc w:val="left"/>
      <w:textAlignment w:val="baseline"/>
    </w:pPr>
    <w:rPr>
      <w:rFonts w:eastAsia="Times New Roman"/>
      <w:noProof/>
      <w:kern w:val="0"/>
      <w:sz w:val="20"/>
      <w:szCs w:val="20"/>
      <w:lang w:eastAsia="ja-JP"/>
    </w:rPr>
  </w:style>
  <w:style w:type="paragraph" w:customStyle="1" w:styleId="textintend2">
    <w:name w:val="text intend 2"/>
    <w:basedOn w:val="a"/>
    <w:rsid w:val="00055707"/>
    <w:pPr>
      <w:widowControl/>
      <w:numPr>
        <w:numId w:val="4"/>
      </w:numPr>
      <w:overflowPunct w:val="0"/>
      <w:adjustRightInd w:val="0"/>
      <w:spacing w:after="120"/>
      <w:textAlignment w:val="baseline"/>
    </w:pPr>
    <w:rPr>
      <w:rFonts w:eastAsia="MS Mincho"/>
      <w:kern w:val="0"/>
      <w:sz w:val="24"/>
      <w:szCs w:val="20"/>
      <w:lang w:val="en-US" w:eastAsia="en-GB"/>
    </w:rPr>
  </w:style>
  <w:style w:type="character" w:styleId="af3">
    <w:name w:val="Unresolved Mention"/>
    <w:basedOn w:val="a1"/>
    <w:uiPriority w:val="99"/>
    <w:semiHidden/>
    <w:unhideWhenUsed/>
    <w:rsid w:val="00BE756B"/>
    <w:rPr>
      <w:color w:val="605E5C"/>
      <w:shd w:val="clear" w:color="auto" w:fill="E1DFDD"/>
    </w:rPr>
  </w:style>
  <w:style w:type="paragraph" w:customStyle="1" w:styleId="Proposal">
    <w:name w:val="Proposal"/>
    <w:basedOn w:val="a"/>
    <w:link w:val="ProposalChar"/>
    <w:qFormat/>
    <w:rsid w:val="003333B0"/>
    <w:pPr>
      <w:widowControl/>
      <w:tabs>
        <w:tab w:val="left" w:pos="1701"/>
      </w:tabs>
      <w:overflowPunct w:val="0"/>
      <w:adjustRightInd w:val="0"/>
      <w:spacing w:after="120"/>
      <w:ind w:left="1701" w:hanging="1701"/>
      <w:textAlignment w:val="baseline"/>
    </w:pPr>
    <w:rPr>
      <w:rFonts w:eastAsia="Times New Roman"/>
      <w:b/>
      <w:bCs/>
      <w:kern w:val="0"/>
      <w:sz w:val="20"/>
      <w:szCs w:val="20"/>
      <w:lang w:eastAsia="zh-CN"/>
    </w:rPr>
  </w:style>
  <w:style w:type="character" w:customStyle="1" w:styleId="ProposalChar">
    <w:name w:val="Proposal Char"/>
    <w:link w:val="Proposal"/>
    <w:qFormat/>
    <w:rsid w:val="003333B0"/>
    <w:rPr>
      <w:rFonts w:ascii="Times New Roman" w:eastAsia="Times New Roman" w:hAnsi="Times New Roman" w:cs="Times New Roman"/>
      <w:b/>
      <w:bCs/>
      <w:kern w:val="0"/>
      <w:szCs w:val="20"/>
      <w:lang w:val="en-GB" w:eastAsia="zh-CN"/>
    </w:rPr>
  </w:style>
  <w:style w:type="character" w:customStyle="1" w:styleId="Char2">
    <w:name w:val="캡션 Char"/>
    <w:aliases w:val="cap Char1,cap Char Char,Caption Char Char,Caption Char1 Char Char,cap Char Char1 Char,Caption Char Char1 Char Char,cap Char2 Char,题注 Char,cap1 Char,cap2 Char,cap11 Char1,Légende-figure Char1,Légende-figure Char Char,Beschrifubg Char,label Char"/>
    <w:link w:val="a7"/>
    <w:qFormat/>
    <w:rsid w:val="006E4D68"/>
    <w:rPr>
      <w:rFonts w:ascii="Times New Roman" w:eastAsia="맑은 고딕" w:hAnsi="Times New Roman" w:cs="Times New Roman"/>
      <w:b/>
      <w:bCs/>
      <w:sz w:val="22"/>
      <w:szCs w:val="20"/>
      <w:lang w:val="en-GB"/>
    </w:rPr>
  </w:style>
  <w:style w:type="paragraph" w:customStyle="1" w:styleId="proposal0">
    <w:name w:val="proposal"/>
    <w:basedOn w:val="aa"/>
    <w:next w:val="a"/>
    <w:link w:val="proposalChar0"/>
    <w:qFormat/>
    <w:rsid w:val="006E4D68"/>
    <w:pPr>
      <w:spacing w:beforeLines="50" w:before="120" w:afterLines="50"/>
      <w:ind w:left="2310" w:hanging="420"/>
      <w:jc w:val="both"/>
    </w:pPr>
    <w:rPr>
      <w:rFonts w:eastAsia="SimSun"/>
      <w:b/>
      <w:sz w:val="20"/>
      <w:lang w:val="en-US" w:eastAsia="zh-CN"/>
    </w:rPr>
  </w:style>
  <w:style w:type="character" w:customStyle="1" w:styleId="proposalChar0">
    <w:name w:val="proposal Char"/>
    <w:link w:val="proposal0"/>
    <w:rsid w:val="006E4D68"/>
    <w:rPr>
      <w:rFonts w:ascii="Times New Roman" w:eastAsia="SimSun" w:hAnsi="Times New Roman" w:cs="Times New Roman"/>
      <w:b/>
      <w:kern w:val="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1283">
      <w:bodyDiv w:val="1"/>
      <w:marLeft w:val="0"/>
      <w:marRight w:val="0"/>
      <w:marTop w:val="0"/>
      <w:marBottom w:val="0"/>
      <w:divBdr>
        <w:top w:val="none" w:sz="0" w:space="0" w:color="auto"/>
        <w:left w:val="none" w:sz="0" w:space="0" w:color="auto"/>
        <w:bottom w:val="none" w:sz="0" w:space="0" w:color="auto"/>
        <w:right w:val="none" w:sz="0" w:space="0" w:color="auto"/>
      </w:divBdr>
      <w:divsChild>
        <w:div w:id="11194931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11076103">
      <w:bodyDiv w:val="1"/>
      <w:marLeft w:val="0"/>
      <w:marRight w:val="0"/>
      <w:marTop w:val="0"/>
      <w:marBottom w:val="0"/>
      <w:divBdr>
        <w:top w:val="none" w:sz="0" w:space="0" w:color="auto"/>
        <w:left w:val="none" w:sz="0" w:space="0" w:color="auto"/>
        <w:bottom w:val="none" w:sz="0" w:space="0" w:color="auto"/>
        <w:right w:val="none" w:sz="0" w:space="0" w:color="auto"/>
      </w:divBdr>
    </w:div>
    <w:div w:id="16586044">
      <w:bodyDiv w:val="1"/>
      <w:marLeft w:val="0"/>
      <w:marRight w:val="0"/>
      <w:marTop w:val="0"/>
      <w:marBottom w:val="0"/>
      <w:divBdr>
        <w:top w:val="none" w:sz="0" w:space="0" w:color="auto"/>
        <w:left w:val="none" w:sz="0" w:space="0" w:color="auto"/>
        <w:bottom w:val="none" w:sz="0" w:space="0" w:color="auto"/>
        <w:right w:val="none" w:sz="0" w:space="0" w:color="auto"/>
      </w:divBdr>
      <w:divsChild>
        <w:div w:id="385565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83696">
      <w:bodyDiv w:val="1"/>
      <w:marLeft w:val="0"/>
      <w:marRight w:val="0"/>
      <w:marTop w:val="0"/>
      <w:marBottom w:val="0"/>
      <w:divBdr>
        <w:top w:val="none" w:sz="0" w:space="0" w:color="auto"/>
        <w:left w:val="none" w:sz="0" w:space="0" w:color="auto"/>
        <w:bottom w:val="none" w:sz="0" w:space="0" w:color="auto"/>
        <w:right w:val="none" w:sz="0" w:space="0" w:color="auto"/>
      </w:divBdr>
    </w:div>
    <w:div w:id="27067571">
      <w:bodyDiv w:val="1"/>
      <w:marLeft w:val="0"/>
      <w:marRight w:val="0"/>
      <w:marTop w:val="0"/>
      <w:marBottom w:val="0"/>
      <w:divBdr>
        <w:top w:val="none" w:sz="0" w:space="0" w:color="auto"/>
        <w:left w:val="none" w:sz="0" w:space="0" w:color="auto"/>
        <w:bottom w:val="none" w:sz="0" w:space="0" w:color="auto"/>
        <w:right w:val="none" w:sz="0" w:space="0" w:color="auto"/>
      </w:divBdr>
    </w:div>
    <w:div w:id="3231508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57825529">
      <w:bodyDiv w:val="1"/>
      <w:marLeft w:val="0"/>
      <w:marRight w:val="0"/>
      <w:marTop w:val="0"/>
      <w:marBottom w:val="0"/>
      <w:divBdr>
        <w:top w:val="none" w:sz="0" w:space="0" w:color="auto"/>
        <w:left w:val="none" w:sz="0" w:space="0" w:color="auto"/>
        <w:bottom w:val="none" w:sz="0" w:space="0" w:color="auto"/>
        <w:right w:val="none" w:sz="0" w:space="0" w:color="auto"/>
      </w:divBdr>
    </w:div>
    <w:div w:id="71317407">
      <w:bodyDiv w:val="1"/>
      <w:marLeft w:val="0"/>
      <w:marRight w:val="0"/>
      <w:marTop w:val="0"/>
      <w:marBottom w:val="0"/>
      <w:divBdr>
        <w:top w:val="none" w:sz="0" w:space="0" w:color="auto"/>
        <w:left w:val="none" w:sz="0" w:space="0" w:color="auto"/>
        <w:bottom w:val="none" w:sz="0" w:space="0" w:color="auto"/>
        <w:right w:val="none" w:sz="0" w:space="0" w:color="auto"/>
      </w:divBdr>
      <w:divsChild>
        <w:div w:id="11491347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91896736">
      <w:bodyDiv w:val="1"/>
      <w:marLeft w:val="0"/>
      <w:marRight w:val="0"/>
      <w:marTop w:val="0"/>
      <w:marBottom w:val="0"/>
      <w:divBdr>
        <w:top w:val="none" w:sz="0" w:space="0" w:color="auto"/>
        <w:left w:val="none" w:sz="0" w:space="0" w:color="auto"/>
        <w:bottom w:val="none" w:sz="0" w:space="0" w:color="auto"/>
        <w:right w:val="none" w:sz="0" w:space="0" w:color="auto"/>
      </w:divBdr>
    </w:div>
    <w:div w:id="93064171">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18426882">
      <w:bodyDiv w:val="1"/>
      <w:marLeft w:val="0"/>
      <w:marRight w:val="0"/>
      <w:marTop w:val="0"/>
      <w:marBottom w:val="0"/>
      <w:divBdr>
        <w:top w:val="none" w:sz="0" w:space="0" w:color="auto"/>
        <w:left w:val="none" w:sz="0" w:space="0" w:color="auto"/>
        <w:bottom w:val="none" w:sz="0" w:space="0" w:color="auto"/>
        <w:right w:val="none" w:sz="0" w:space="0" w:color="auto"/>
      </w:divBdr>
    </w:div>
    <w:div w:id="132798202">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69812">
      <w:bodyDiv w:val="1"/>
      <w:marLeft w:val="0"/>
      <w:marRight w:val="0"/>
      <w:marTop w:val="0"/>
      <w:marBottom w:val="0"/>
      <w:divBdr>
        <w:top w:val="none" w:sz="0" w:space="0" w:color="auto"/>
        <w:left w:val="none" w:sz="0" w:space="0" w:color="auto"/>
        <w:bottom w:val="none" w:sz="0" w:space="0" w:color="auto"/>
        <w:right w:val="none" w:sz="0" w:space="0" w:color="auto"/>
      </w:divBdr>
      <w:divsChild>
        <w:div w:id="11004893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032849">
      <w:bodyDiv w:val="1"/>
      <w:marLeft w:val="0"/>
      <w:marRight w:val="0"/>
      <w:marTop w:val="0"/>
      <w:marBottom w:val="0"/>
      <w:divBdr>
        <w:top w:val="none" w:sz="0" w:space="0" w:color="auto"/>
        <w:left w:val="none" w:sz="0" w:space="0" w:color="auto"/>
        <w:bottom w:val="none" w:sz="0" w:space="0" w:color="auto"/>
        <w:right w:val="none" w:sz="0" w:space="0" w:color="auto"/>
      </w:divBdr>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05412449">
      <w:bodyDiv w:val="1"/>
      <w:marLeft w:val="0"/>
      <w:marRight w:val="0"/>
      <w:marTop w:val="0"/>
      <w:marBottom w:val="0"/>
      <w:divBdr>
        <w:top w:val="none" w:sz="0" w:space="0" w:color="auto"/>
        <w:left w:val="none" w:sz="0" w:space="0" w:color="auto"/>
        <w:bottom w:val="none" w:sz="0" w:space="0" w:color="auto"/>
        <w:right w:val="none" w:sz="0" w:space="0" w:color="auto"/>
      </w:divBdr>
      <w:divsChild>
        <w:div w:id="1279487901">
          <w:marLeft w:val="446"/>
          <w:marRight w:val="0"/>
          <w:marTop w:val="0"/>
          <w:marBottom w:val="0"/>
          <w:divBdr>
            <w:top w:val="none" w:sz="0" w:space="0" w:color="auto"/>
            <w:left w:val="none" w:sz="0" w:space="0" w:color="auto"/>
            <w:bottom w:val="none" w:sz="0" w:space="0" w:color="auto"/>
            <w:right w:val="none" w:sz="0" w:space="0" w:color="auto"/>
          </w:divBdr>
        </w:div>
        <w:div w:id="1670401770">
          <w:marLeft w:val="1166"/>
          <w:marRight w:val="0"/>
          <w:marTop w:val="0"/>
          <w:marBottom w:val="0"/>
          <w:divBdr>
            <w:top w:val="none" w:sz="0" w:space="0" w:color="auto"/>
            <w:left w:val="none" w:sz="0" w:space="0" w:color="auto"/>
            <w:bottom w:val="none" w:sz="0" w:space="0" w:color="auto"/>
            <w:right w:val="none" w:sz="0" w:space="0" w:color="auto"/>
          </w:divBdr>
        </w:div>
        <w:div w:id="978849296">
          <w:marLeft w:val="446"/>
          <w:marRight w:val="0"/>
          <w:marTop w:val="0"/>
          <w:marBottom w:val="0"/>
          <w:divBdr>
            <w:top w:val="none" w:sz="0" w:space="0" w:color="auto"/>
            <w:left w:val="none" w:sz="0" w:space="0" w:color="auto"/>
            <w:bottom w:val="none" w:sz="0" w:space="0" w:color="auto"/>
            <w:right w:val="none" w:sz="0" w:space="0" w:color="auto"/>
          </w:divBdr>
        </w:div>
      </w:divsChild>
    </w:div>
    <w:div w:id="213781351">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38175838">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67546135">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4099343">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287710968">
      <w:bodyDiv w:val="1"/>
      <w:marLeft w:val="0"/>
      <w:marRight w:val="0"/>
      <w:marTop w:val="0"/>
      <w:marBottom w:val="0"/>
      <w:divBdr>
        <w:top w:val="none" w:sz="0" w:space="0" w:color="auto"/>
        <w:left w:val="none" w:sz="0" w:space="0" w:color="auto"/>
        <w:bottom w:val="none" w:sz="0" w:space="0" w:color="auto"/>
        <w:right w:val="none" w:sz="0" w:space="0" w:color="auto"/>
      </w:divBdr>
      <w:divsChild>
        <w:div w:id="15415563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0622694">
      <w:bodyDiv w:val="1"/>
      <w:marLeft w:val="0"/>
      <w:marRight w:val="0"/>
      <w:marTop w:val="0"/>
      <w:marBottom w:val="0"/>
      <w:divBdr>
        <w:top w:val="none" w:sz="0" w:space="0" w:color="auto"/>
        <w:left w:val="none" w:sz="0" w:space="0" w:color="auto"/>
        <w:bottom w:val="none" w:sz="0" w:space="0" w:color="auto"/>
        <w:right w:val="none" w:sz="0" w:space="0" w:color="auto"/>
      </w:divBdr>
    </w:div>
    <w:div w:id="307440507">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1498945">
      <w:bodyDiv w:val="1"/>
      <w:marLeft w:val="0"/>
      <w:marRight w:val="0"/>
      <w:marTop w:val="0"/>
      <w:marBottom w:val="0"/>
      <w:divBdr>
        <w:top w:val="none" w:sz="0" w:space="0" w:color="auto"/>
        <w:left w:val="none" w:sz="0" w:space="0" w:color="auto"/>
        <w:bottom w:val="none" w:sz="0" w:space="0" w:color="auto"/>
        <w:right w:val="none" w:sz="0" w:space="0" w:color="auto"/>
      </w:divBdr>
      <w:divsChild>
        <w:div w:id="3732375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29817467">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434982881">
      <w:bodyDiv w:val="1"/>
      <w:marLeft w:val="0"/>
      <w:marRight w:val="0"/>
      <w:marTop w:val="0"/>
      <w:marBottom w:val="0"/>
      <w:divBdr>
        <w:top w:val="none" w:sz="0" w:space="0" w:color="auto"/>
        <w:left w:val="none" w:sz="0" w:space="0" w:color="auto"/>
        <w:bottom w:val="none" w:sz="0" w:space="0" w:color="auto"/>
        <w:right w:val="none" w:sz="0" w:space="0" w:color="auto"/>
      </w:divBdr>
    </w:div>
    <w:div w:id="436558289">
      <w:bodyDiv w:val="1"/>
      <w:marLeft w:val="0"/>
      <w:marRight w:val="0"/>
      <w:marTop w:val="0"/>
      <w:marBottom w:val="0"/>
      <w:divBdr>
        <w:top w:val="none" w:sz="0" w:space="0" w:color="auto"/>
        <w:left w:val="none" w:sz="0" w:space="0" w:color="auto"/>
        <w:bottom w:val="none" w:sz="0" w:space="0" w:color="auto"/>
        <w:right w:val="none" w:sz="0" w:space="0" w:color="auto"/>
      </w:divBdr>
      <w:divsChild>
        <w:div w:id="1126195935">
          <w:marLeft w:val="446"/>
          <w:marRight w:val="0"/>
          <w:marTop w:val="0"/>
          <w:marBottom w:val="0"/>
          <w:divBdr>
            <w:top w:val="none" w:sz="0" w:space="0" w:color="auto"/>
            <w:left w:val="none" w:sz="0" w:space="0" w:color="auto"/>
            <w:bottom w:val="none" w:sz="0" w:space="0" w:color="auto"/>
            <w:right w:val="none" w:sz="0" w:space="0" w:color="auto"/>
          </w:divBdr>
        </w:div>
        <w:div w:id="37631197">
          <w:marLeft w:val="1166"/>
          <w:marRight w:val="0"/>
          <w:marTop w:val="0"/>
          <w:marBottom w:val="0"/>
          <w:divBdr>
            <w:top w:val="none" w:sz="0" w:space="0" w:color="auto"/>
            <w:left w:val="none" w:sz="0" w:space="0" w:color="auto"/>
            <w:bottom w:val="none" w:sz="0" w:space="0" w:color="auto"/>
            <w:right w:val="none" w:sz="0" w:space="0" w:color="auto"/>
          </w:divBdr>
        </w:div>
      </w:divsChild>
    </w:div>
    <w:div w:id="450561057">
      <w:bodyDiv w:val="1"/>
      <w:marLeft w:val="0"/>
      <w:marRight w:val="0"/>
      <w:marTop w:val="0"/>
      <w:marBottom w:val="0"/>
      <w:divBdr>
        <w:top w:val="none" w:sz="0" w:space="0" w:color="auto"/>
        <w:left w:val="none" w:sz="0" w:space="0" w:color="auto"/>
        <w:bottom w:val="none" w:sz="0" w:space="0" w:color="auto"/>
        <w:right w:val="none" w:sz="0" w:space="0" w:color="auto"/>
      </w:divBdr>
    </w:div>
    <w:div w:id="473254372">
      <w:bodyDiv w:val="1"/>
      <w:marLeft w:val="0"/>
      <w:marRight w:val="0"/>
      <w:marTop w:val="0"/>
      <w:marBottom w:val="0"/>
      <w:divBdr>
        <w:top w:val="none" w:sz="0" w:space="0" w:color="auto"/>
        <w:left w:val="none" w:sz="0" w:space="0" w:color="auto"/>
        <w:bottom w:val="none" w:sz="0" w:space="0" w:color="auto"/>
        <w:right w:val="none" w:sz="0" w:space="0" w:color="auto"/>
      </w:divBdr>
    </w:div>
    <w:div w:id="479080402">
      <w:bodyDiv w:val="1"/>
      <w:marLeft w:val="0"/>
      <w:marRight w:val="0"/>
      <w:marTop w:val="0"/>
      <w:marBottom w:val="0"/>
      <w:divBdr>
        <w:top w:val="none" w:sz="0" w:space="0" w:color="auto"/>
        <w:left w:val="none" w:sz="0" w:space="0" w:color="auto"/>
        <w:bottom w:val="none" w:sz="0" w:space="0" w:color="auto"/>
        <w:right w:val="none" w:sz="0" w:space="0" w:color="auto"/>
      </w:divBdr>
      <w:divsChild>
        <w:div w:id="3355032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5369605">
      <w:bodyDiv w:val="1"/>
      <w:marLeft w:val="0"/>
      <w:marRight w:val="0"/>
      <w:marTop w:val="0"/>
      <w:marBottom w:val="0"/>
      <w:divBdr>
        <w:top w:val="none" w:sz="0" w:space="0" w:color="auto"/>
        <w:left w:val="none" w:sz="0" w:space="0" w:color="auto"/>
        <w:bottom w:val="none" w:sz="0" w:space="0" w:color="auto"/>
        <w:right w:val="none" w:sz="0" w:space="0" w:color="auto"/>
      </w:divBdr>
    </w:div>
    <w:div w:id="506754983">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0895697">
      <w:bodyDiv w:val="1"/>
      <w:marLeft w:val="0"/>
      <w:marRight w:val="0"/>
      <w:marTop w:val="0"/>
      <w:marBottom w:val="0"/>
      <w:divBdr>
        <w:top w:val="none" w:sz="0" w:space="0" w:color="auto"/>
        <w:left w:val="none" w:sz="0" w:space="0" w:color="auto"/>
        <w:bottom w:val="none" w:sz="0" w:space="0" w:color="auto"/>
        <w:right w:val="none" w:sz="0" w:space="0" w:color="auto"/>
      </w:divBdr>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39241519">
      <w:bodyDiv w:val="1"/>
      <w:marLeft w:val="0"/>
      <w:marRight w:val="0"/>
      <w:marTop w:val="0"/>
      <w:marBottom w:val="0"/>
      <w:divBdr>
        <w:top w:val="none" w:sz="0" w:space="0" w:color="auto"/>
        <w:left w:val="none" w:sz="0" w:space="0" w:color="auto"/>
        <w:bottom w:val="none" w:sz="0" w:space="0" w:color="auto"/>
        <w:right w:val="none" w:sz="0" w:space="0" w:color="auto"/>
      </w:divBdr>
      <w:divsChild>
        <w:div w:id="17498842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5063123">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85383376">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59771915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26744033">
      <w:bodyDiv w:val="1"/>
      <w:marLeft w:val="0"/>
      <w:marRight w:val="0"/>
      <w:marTop w:val="0"/>
      <w:marBottom w:val="0"/>
      <w:divBdr>
        <w:top w:val="none" w:sz="0" w:space="0" w:color="auto"/>
        <w:left w:val="none" w:sz="0" w:space="0" w:color="auto"/>
        <w:bottom w:val="none" w:sz="0" w:space="0" w:color="auto"/>
        <w:right w:val="none" w:sz="0" w:space="0" w:color="auto"/>
      </w:divBdr>
      <w:divsChild>
        <w:div w:id="12883211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0750262">
      <w:bodyDiv w:val="1"/>
      <w:marLeft w:val="0"/>
      <w:marRight w:val="0"/>
      <w:marTop w:val="0"/>
      <w:marBottom w:val="0"/>
      <w:divBdr>
        <w:top w:val="none" w:sz="0" w:space="0" w:color="auto"/>
        <w:left w:val="none" w:sz="0" w:space="0" w:color="auto"/>
        <w:bottom w:val="none" w:sz="0" w:space="0" w:color="auto"/>
        <w:right w:val="none" w:sz="0" w:space="0" w:color="auto"/>
      </w:divBdr>
      <w:divsChild>
        <w:div w:id="7769494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47705713">
      <w:bodyDiv w:val="1"/>
      <w:marLeft w:val="0"/>
      <w:marRight w:val="0"/>
      <w:marTop w:val="0"/>
      <w:marBottom w:val="0"/>
      <w:divBdr>
        <w:top w:val="none" w:sz="0" w:space="0" w:color="auto"/>
        <w:left w:val="none" w:sz="0" w:space="0" w:color="auto"/>
        <w:bottom w:val="none" w:sz="0" w:space="0" w:color="auto"/>
        <w:right w:val="none" w:sz="0" w:space="0" w:color="auto"/>
      </w:divBdr>
    </w:div>
    <w:div w:id="657343809">
      <w:bodyDiv w:val="1"/>
      <w:marLeft w:val="0"/>
      <w:marRight w:val="0"/>
      <w:marTop w:val="0"/>
      <w:marBottom w:val="0"/>
      <w:divBdr>
        <w:top w:val="none" w:sz="0" w:space="0" w:color="auto"/>
        <w:left w:val="none" w:sz="0" w:space="0" w:color="auto"/>
        <w:bottom w:val="none" w:sz="0" w:space="0" w:color="auto"/>
        <w:right w:val="none" w:sz="0" w:space="0" w:color="auto"/>
      </w:divBdr>
    </w:div>
    <w:div w:id="672951351">
      <w:bodyDiv w:val="1"/>
      <w:marLeft w:val="0"/>
      <w:marRight w:val="0"/>
      <w:marTop w:val="0"/>
      <w:marBottom w:val="0"/>
      <w:divBdr>
        <w:top w:val="none" w:sz="0" w:space="0" w:color="auto"/>
        <w:left w:val="none" w:sz="0" w:space="0" w:color="auto"/>
        <w:bottom w:val="none" w:sz="0" w:space="0" w:color="auto"/>
        <w:right w:val="none" w:sz="0" w:space="0" w:color="auto"/>
      </w:divBdr>
    </w:div>
    <w:div w:id="674693815">
      <w:bodyDiv w:val="1"/>
      <w:marLeft w:val="0"/>
      <w:marRight w:val="0"/>
      <w:marTop w:val="0"/>
      <w:marBottom w:val="0"/>
      <w:divBdr>
        <w:top w:val="none" w:sz="0" w:space="0" w:color="auto"/>
        <w:left w:val="none" w:sz="0" w:space="0" w:color="auto"/>
        <w:bottom w:val="none" w:sz="0" w:space="0" w:color="auto"/>
        <w:right w:val="none" w:sz="0" w:space="0" w:color="auto"/>
      </w:divBdr>
      <w:divsChild>
        <w:div w:id="16170578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2649528">
      <w:bodyDiv w:val="1"/>
      <w:marLeft w:val="0"/>
      <w:marRight w:val="0"/>
      <w:marTop w:val="0"/>
      <w:marBottom w:val="0"/>
      <w:divBdr>
        <w:top w:val="none" w:sz="0" w:space="0" w:color="auto"/>
        <w:left w:val="none" w:sz="0" w:space="0" w:color="auto"/>
        <w:bottom w:val="none" w:sz="0" w:space="0" w:color="auto"/>
        <w:right w:val="none" w:sz="0" w:space="0" w:color="auto"/>
      </w:divBdr>
      <w:divsChild>
        <w:div w:id="17600552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3766822">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0121040">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62671843">
      <w:bodyDiv w:val="1"/>
      <w:marLeft w:val="0"/>
      <w:marRight w:val="0"/>
      <w:marTop w:val="0"/>
      <w:marBottom w:val="0"/>
      <w:divBdr>
        <w:top w:val="none" w:sz="0" w:space="0" w:color="auto"/>
        <w:left w:val="none" w:sz="0" w:space="0" w:color="auto"/>
        <w:bottom w:val="none" w:sz="0" w:space="0" w:color="auto"/>
        <w:right w:val="none" w:sz="0" w:space="0" w:color="auto"/>
      </w:divBdr>
    </w:div>
    <w:div w:id="884372722">
      <w:bodyDiv w:val="1"/>
      <w:marLeft w:val="0"/>
      <w:marRight w:val="0"/>
      <w:marTop w:val="0"/>
      <w:marBottom w:val="0"/>
      <w:divBdr>
        <w:top w:val="none" w:sz="0" w:space="0" w:color="auto"/>
        <w:left w:val="none" w:sz="0" w:space="0" w:color="auto"/>
        <w:bottom w:val="none" w:sz="0" w:space="0" w:color="auto"/>
        <w:right w:val="none" w:sz="0" w:space="0" w:color="auto"/>
      </w:divBdr>
      <w:divsChild>
        <w:div w:id="10766271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59534574">
      <w:bodyDiv w:val="1"/>
      <w:marLeft w:val="0"/>
      <w:marRight w:val="0"/>
      <w:marTop w:val="0"/>
      <w:marBottom w:val="0"/>
      <w:divBdr>
        <w:top w:val="none" w:sz="0" w:space="0" w:color="auto"/>
        <w:left w:val="none" w:sz="0" w:space="0" w:color="auto"/>
        <w:bottom w:val="none" w:sz="0" w:space="0" w:color="auto"/>
        <w:right w:val="none" w:sz="0" w:space="0" w:color="auto"/>
      </w:divBdr>
    </w:div>
    <w:div w:id="960066952">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974145164">
      <w:bodyDiv w:val="1"/>
      <w:marLeft w:val="0"/>
      <w:marRight w:val="0"/>
      <w:marTop w:val="0"/>
      <w:marBottom w:val="0"/>
      <w:divBdr>
        <w:top w:val="none" w:sz="0" w:space="0" w:color="auto"/>
        <w:left w:val="none" w:sz="0" w:space="0" w:color="auto"/>
        <w:bottom w:val="none" w:sz="0" w:space="0" w:color="auto"/>
        <w:right w:val="none" w:sz="0" w:space="0" w:color="auto"/>
      </w:divBdr>
      <w:divsChild>
        <w:div w:id="8703403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3609477">
      <w:bodyDiv w:val="1"/>
      <w:marLeft w:val="0"/>
      <w:marRight w:val="0"/>
      <w:marTop w:val="0"/>
      <w:marBottom w:val="0"/>
      <w:divBdr>
        <w:top w:val="none" w:sz="0" w:space="0" w:color="auto"/>
        <w:left w:val="none" w:sz="0" w:space="0" w:color="auto"/>
        <w:bottom w:val="none" w:sz="0" w:space="0" w:color="auto"/>
        <w:right w:val="none" w:sz="0" w:space="0" w:color="auto"/>
      </w:divBdr>
      <w:divsChild>
        <w:div w:id="501773840">
          <w:marLeft w:val="1080"/>
          <w:marRight w:val="0"/>
          <w:marTop w:val="100"/>
          <w:marBottom w:val="0"/>
          <w:divBdr>
            <w:top w:val="none" w:sz="0" w:space="0" w:color="auto"/>
            <w:left w:val="none" w:sz="0" w:space="0" w:color="auto"/>
            <w:bottom w:val="none" w:sz="0" w:space="0" w:color="auto"/>
            <w:right w:val="none" w:sz="0" w:space="0" w:color="auto"/>
          </w:divBdr>
        </w:div>
        <w:div w:id="748044891">
          <w:marLeft w:val="1080"/>
          <w:marRight w:val="0"/>
          <w:marTop w:val="100"/>
          <w:marBottom w:val="0"/>
          <w:divBdr>
            <w:top w:val="none" w:sz="0" w:space="0" w:color="auto"/>
            <w:left w:val="none" w:sz="0" w:space="0" w:color="auto"/>
            <w:bottom w:val="none" w:sz="0" w:space="0" w:color="auto"/>
            <w:right w:val="none" w:sz="0" w:space="0" w:color="auto"/>
          </w:divBdr>
        </w:div>
      </w:divsChild>
    </w:div>
    <w:div w:id="99576688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3265410">
      <w:bodyDiv w:val="1"/>
      <w:marLeft w:val="0"/>
      <w:marRight w:val="0"/>
      <w:marTop w:val="0"/>
      <w:marBottom w:val="0"/>
      <w:divBdr>
        <w:top w:val="none" w:sz="0" w:space="0" w:color="auto"/>
        <w:left w:val="none" w:sz="0" w:space="0" w:color="auto"/>
        <w:bottom w:val="none" w:sz="0" w:space="0" w:color="auto"/>
        <w:right w:val="none" w:sz="0" w:space="0" w:color="auto"/>
      </w:divBdr>
      <w:divsChild>
        <w:div w:id="9382900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2291693">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66026756">
      <w:bodyDiv w:val="1"/>
      <w:marLeft w:val="0"/>
      <w:marRight w:val="0"/>
      <w:marTop w:val="0"/>
      <w:marBottom w:val="0"/>
      <w:divBdr>
        <w:top w:val="none" w:sz="0" w:space="0" w:color="auto"/>
        <w:left w:val="none" w:sz="0" w:space="0" w:color="auto"/>
        <w:bottom w:val="none" w:sz="0" w:space="0" w:color="auto"/>
        <w:right w:val="none" w:sz="0" w:space="0" w:color="auto"/>
      </w:divBdr>
      <w:divsChild>
        <w:div w:id="1775449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80178289">
      <w:bodyDiv w:val="1"/>
      <w:marLeft w:val="0"/>
      <w:marRight w:val="0"/>
      <w:marTop w:val="0"/>
      <w:marBottom w:val="0"/>
      <w:divBdr>
        <w:top w:val="none" w:sz="0" w:space="0" w:color="auto"/>
        <w:left w:val="none" w:sz="0" w:space="0" w:color="auto"/>
        <w:bottom w:val="none" w:sz="0" w:space="0" w:color="auto"/>
        <w:right w:val="none" w:sz="0" w:space="0" w:color="auto"/>
      </w:divBdr>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094594982">
      <w:bodyDiv w:val="1"/>
      <w:marLeft w:val="0"/>
      <w:marRight w:val="0"/>
      <w:marTop w:val="0"/>
      <w:marBottom w:val="0"/>
      <w:divBdr>
        <w:top w:val="none" w:sz="0" w:space="0" w:color="auto"/>
        <w:left w:val="none" w:sz="0" w:space="0" w:color="auto"/>
        <w:bottom w:val="none" w:sz="0" w:space="0" w:color="auto"/>
        <w:right w:val="none" w:sz="0" w:space="0" w:color="auto"/>
      </w:divBdr>
    </w:div>
    <w:div w:id="11014182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32673556">
      <w:bodyDiv w:val="1"/>
      <w:marLeft w:val="0"/>
      <w:marRight w:val="0"/>
      <w:marTop w:val="0"/>
      <w:marBottom w:val="0"/>
      <w:divBdr>
        <w:top w:val="none" w:sz="0" w:space="0" w:color="auto"/>
        <w:left w:val="none" w:sz="0" w:space="0" w:color="auto"/>
        <w:bottom w:val="none" w:sz="0" w:space="0" w:color="auto"/>
        <w:right w:val="none" w:sz="0" w:space="0" w:color="auto"/>
      </w:divBdr>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55031648">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187207245">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0140062">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49658118">
      <w:bodyDiv w:val="1"/>
      <w:marLeft w:val="0"/>
      <w:marRight w:val="0"/>
      <w:marTop w:val="0"/>
      <w:marBottom w:val="0"/>
      <w:divBdr>
        <w:top w:val="none" w:sz="0" w:space="0" w:color="auto"/>
        <w:left w:val="none" w:sz="0" w:space="0" w:color="auto"/>
        <w:bottom w:val="none" w:sz="0" w:space="0" w:color="auto"/>
        <w:right w:val="none" w:sz="0" w:space="0" w:color="auto"/>
      </w:divBdr>
    </w:div>
    <w:div w:id="1258515624">
      <w:bodyDiv w:val="1"/>
      <w:marLeft w:val="0"/>
      <w:marRight w:val="0"/>
      <w:marTop w:val="0"/>
      <w:marBottom w:val="0"/>
      <w:divBdr>
        <w:top w:val="none" w:sz="0" w:space="0" w:color="auto"/>
        <w:left w:val="none" w:sz="0" w:space="0" w:color="auto"/>
        <w:bottom w:val="none" w:sz="0" w:space="0" w:color="auto"/>
        <w:right w:val="none" w:sz="0" w:space="0" w:color="auto"/>
      </w:divBdr>
      <w:divsChild>
        <w:div w:id="1785477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5559128">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85775092">
      <w:bodyDiv w:val="1"/>
      <w:marLeft w:val="0"/>
      <w:marRight w:val="0"/>
      <w:marTop w:val="0"/>
      <w:marBottom w:val="0"/>
      <w:divBdr>
        <w:top w:val="none" w:sz="0" w:space="0" w:color="auto"/>
        <w:left w:val="none" w:sz="0" w:space="0" w:color="auto"/>
        <w:bottom w:val="none" w:sz="0" w:space="0" w:color="auto"/>
        <w:right w:val="none" w:sz="0" w:space="0" w:color="auto"/>
      </w:divBdr>
      <w:divsChild>
        <w:div w:id="714888825">
          <w:marLeft w:val="446"/>
          <w:marRight w:val="0"/>
          <w:marTop w:val="0"/>
          <w:marBottom w:val="0"/>
          <w:divBdr>
            <w:top w:val="none" w:sz="0" w:space="0" w:color="auto"/>
            <w:left w:val="none" w:sz="0" w:space="0" w:color="auto"/>
            <w:bottom w:val="none" w:sz="0" w:space="0" w:color="auto"/>
            <w:right w:val="none" w:sz="0" w:space="0" w:color="auto"/>
          </w:divBdr>
        </w:div>
        <w:div w:id="1379936032">
          <w:marLeft w:val="1166"/>
          <w:marRight w:val="0"/>
          <w:marTop w:val="0"/>
          <w:marBottom w:val="0"/>
          <w:divBdr>
            <w:top w:val="none" w:sz="0" w:space="0" w:color="auto"/>
            <w:left w:val="none" w:sz="0" w:space="0" w:color="auto"/>
            <w:bottom w:val="none" w:sz="0" w:space="0" w:color="auto"/>
            <w:right w:val="none" w:sz="0" w:space="0" w:color="auto"/>
          </w:divBdr>
        </w:div>
        <w:div w:id="1098451684">
          <w:marLeft w:val="446"/>
          <w:marRight w:val="0"/>
          <w:marTop w:val="0"/>
          <w:marBottom w:val="0"/>
          <w:divBdr>
            <w:top w:val="none" w:sz="0" w:space="0" w:color="auto"/>
            <w:left w:val="none" w:sz="0" w:space="0" w:color="auto"/>
            <w:bottom w:val="none" w:sz="0" w:space="0" w:color="auto"/>
            <w:right w:val="none" w:sz="0" w:space="0" w:color="auto"/>
          </w:divBdr>
        </w:div>
        <w:div w:id="829366541">
          <w:marLeft w:val="446"/>
          <w:marRight w:val="0"/>
          <w:marTop w:val="0"/>
          <w:marBottom w:val="0"/>
          <w:divBdr>
            <w:top w:val="none" w:sz="0" w:space="0" w:color="auto"/>
            <w:left w:val="none" w:sz="0" w:space="0" w:color="auto"/>
            <w:bottom w:val="none" w:sz="0" w:space="0" w:color="auto"/>
            <w:right w:val="none" w:sz="0" w:space="0" w:color="auto"/>
          </w:divBdr>
        </w:div>
        <w:div w:id="459692259">
          <w:marLeft w:val="1166"/>
          <w:marRight w:val="0"/>
          <w:marTop w:val="0"/>
          <w:marBottom w:val="0"/>
          <w:divBdr>
            <w:top w:val="none" w:sz="0" w:space="0" w:color="auto"/>
            <w:left w:val="none" w:sz="0" w:space="0" w:color="auto"/>
            <w:bottom w:val="none" w:sz="0" w:space="0" w:color="auto"/>
            <w:right w:val="none" w:sz="0" w:space="0" w:color="auto"/>
          </w:divBdr>
        </w:div>
        <w:div w:id="1851602175">
          <w:marLeft w:val="446"/>
          <w:marRight w:val="0"/>
          <w:marTop w:val="0"/>
          <w:marBottom w:val="0"/>
          <w:divBdr>
            <w:top w:val="none" w:sz="0" w:space="0" w:color="auto"/>
            <w:left w:val="none" w:sz="0" w:space="0" w:color="auto"/>
            <w:bottom w:val="none" w:sz="0" w:space="0" w:color="auto"/>
            <w:right w:val="none" w:sz="0" w:space="0" w:color="auto"/>
          </w:divBdr>
        </w:div>
      </w:divsChild>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299454795">
      <w:bodyDiv w:val="1"/>
      <w:marLeft w:val="0"/>
      <w:marRight w:val="0"/>
      <w:marTop w:val="0"/>
      <w:marBottom w:val="0"/>
      <w:divBdr>
        <w:top w:val="none" w:sz="0" w:space="0" w:color="auto"/>
        <w:left w:val="none" w:sz="0" w:space="0" w:color="auto"/>
        <w:bottom w:val="none" w:sz="0" w:space="0" w:color="auto"/>
        <w:right w:val="none" w:sz="0" w:space="0" w:color="auto"/>
      </w:divBdr>
      <w:divsChild>
        <w:div w:id="12539698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09672936">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19461486">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360278448">
      <w:bodyDiv w:val="1"/>
      <w:marLeft w:val="0"/>
      <w:marRight w:val="0"/>
      <w:marTop w:val="0"/>
      <w:marBottom w:val="0"/>
      <w:divBdr>
        <w:top w:val="none" w:sz="0" w:space="0" w:color="auto"/>
        <w:left w:val="none" w:sz="0" w:space="0" w:color="auto"/>
        <w:bottom w:val="none" w:sz="0" w:space="0" w:color="auto"/>
        <w:right w:val="none" w:sz="0" w:space="0" w:color="auto"/>
      </w:divBdr>
    </w:div>
    <w:div w:id="1377658802">
      <w:bodyDiv w:val="1"/>
      <w:marLeft w:val="0"/>
      <w:marRight w:val="0"/>
      <w:marTop w:val="0"/>
      <w:marBottom w:val="0"/>
      <w:divBdr>
        <w:top w:val="none" w:sz="0" w:space="0" w:color="auto"/>
        <w:left w:val="none" w:sz="0" w:space="0" w:color="auto"/>
        <w:bottom w:val="none" w:sz="0" w:space="0" w:color="auto"/>
        <w:right w:val="none" w:sz="0" w:space="0" w:color="auto"/>
      </w:divBdr>
    </w:div>
    <w:div w:id="1395929343">
      <w:bodyDiv w:val="1"/>
      <w:marLeft w:val="0"/>
      <w:marRight w:val="0"/>
      <w:marTop w:val="0"/>
      <w:marBottom w:val="0"/>
      <w:divBdr>
        <w:top w:val="none" w:sz="0" w:space="0" w:color="auto"/>
        <w:left w:val="none" w:sz="0" w:space="0" w:color="auto"/>
        <w:bottom w:val="none" w:sz="0" w:space="0" w:color="auto"/>
        <w:right w:val="none" w:sz="0" w:space="0" w:color="auto"/>
      </w:divBdr>
    </w:div>
    <w:div w:id="1404721844">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14279633">
      <w:bodyDiv w:val="1"/>
      <w:marLeft w:val="0"/>
      <w:marRight w:val="0"/>
      <w:marTop w:val="0"/>
      <w:marBottom w:val="0"/>
      <w:divBdr>
        <w:top w:val="none" w:sz="0" w:space="0" w:color="auto"/>
        <w:left w:val="none" w:sz="0" w:space="0" w:color="auto"/>
        <w:bottom w:val="none" w:sz="0" w:space="0" w:color="auto"/>
        <w:right w:val="none" w:sz="0" w:space="0" w:color="auto"/>
      </w:divBdr>
    </w:div>
    <w:div w:id="1415593202">
      <w:bodyDiv w:val="1"/>
      <w:marLeft w:val="0"/>
      <w:marRight w:val="0"/>
      <w:marTop w:val="0"/>
      <w:marBottom w:val="0"/>
      <w:divBdr>
        <w:top w:val="none" w:sz="0" w:space="0" w:color="auto"/>
        <w:left w:val="none" w:sz="0" w:space="0" w:color="auto"/>
        <w:bottom w:val="none" w:sz="0" w:space="0" w:color="auto"/>
        <w:right w:val="none" w:sz="0" w:space="0" w:color="auto"/>
      </w:divBdr>
    </w:div>
    <w:div w:id="1416782879">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29158569">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58717963">
      <w:bodyDiv w:val="1"/>
      <w:marLeft w:val="0"/>
      <w:marRight w:val="0"/>
      <w:marTop w:val="0"/>
      <w:marBottom w:val="0"/>
      <w:divBdr>
        <w:top w:val="none" w:sz="0" w:space="0" w:color="auto"/>
        <w:left w:val="none" w:sz="0" w:space="0" w:color="auto"/>
        <w:bottom w:val="none" w:sz="0" w:space="0" w:color="auto"/>
        <w:right w:val="none" w:sz="0" w:space="0" w:color="auto"/>
      </w:divBdr>
    </w:div>
    <w:div w:id="1469739096">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17233227">
      <w:bodyDiv w:val="1"/>
      <w:marLeft w:val="0"/>
      <w:marRight w:val="0"/>
      <w:marTop w:val="0"/>
      <w:marBottom w:val="0"/>
      <w:divBdr>
        <w:top w:val="none" w:sz="0" w:space="0" w:color="auto"/>
        <w:left w:val="none" w:sz="0" w:space="0" w:color="auto"/>
        <w:bottom w:val="none" w:sz="0" w:space="0" w:color="auto"/>
        <w:right w:val="none" w:sz="0" w:space="0" w:color="auto"/>
      </w:divBdr>
    </w:div>
    <w:div w:id="1542551777">
      <w:bodyDiv w:val="1"/>
      <w:marLeft w:val="0"/>
      <w:marRight w:val="0"/>
      <w:marTop w:val="0"/>
      <w:marBottom w:val="0"/>
      <w:divBdr>
        <w:top w:val="none" w:sz="0" w:space="0" w:color="auto"/>
        <w:left w:val="none" w:sz="0" w:space="0" w:color="auto"/>
        <w:bottom w:val="none" w:sz="0" w:space="0" w:color="auto"/>
        <w:right w:val="none" w:sz="0" w:space="0" w:color="auto"/>
      </w:divBdr>
    </w:div>
    <w:div w:id="1544292929">
      <w:bodyDiv w:val="1"/>
      <w:marLeft w:val="0"/>
      <w:marRight w:val="0"/>
      <w:marTop w:val="0"/>
      <w:marBottom w:val="0"/>
      <w:divBdr>
        <w:top w:val="none" w:sz="0" w:space="0" w:color="auto"/>
        <w:left w:val="none" w:sz="0" w:space="0" w:color="auto"/>
        <w:bottom w:val="none" w:sz="0" w:space="0" w:color="auto"/>
        <w:right w:val="none" w:sz="0" w:space="0" w:color="auto"/>
      </w:divBdr>
    </w:div>
    <w:div w:id="1546260638">
      <w:bodyDiv w:val="1"/>
      <w:marLeft w:val="0"/>
      <w:marRight w:val="0"/>
      <w:marTop w:val="0"/>
      <w:marBottom w:val="0"/>
      <w:divBdr>
        <w:top w:val="none" w:sz="0" w:space="0" w:color="auto"/>
        <w:left w:val="none" w:sz="0" w:space="0" w:color="auto"/>
        <w:bottom w:val="none" w:sz="0" w:space="0" w:color="auto"/>
        <w:right w:val="none" w:sz="0" w:space="0" w:color="auto"/>
      </w:divBdr>
      <w:divsChild>
        <w:div w:id="16281260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69607427">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74777809">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597906378">
      <w:bodyDiv w:val="1"/>
      <w:marLeft w:val="0"/>
      <w:marRight w:val="0"/>
      <w:marTop w:val="0"/>
      <w:marBottom w:val="0"/>
      <w:divBdr>
        <w:top w:val="none" w:sz="0" w:space="0" w:color="auto"/>
        <w:left w:val="none" w:sz="0" w:space="0" w:color="auto"/>
        <w:bottom w:val="none" w:sz="0" w:space="0" w:color="auto"/>
        <w:right w:val="none" w:sz="0" w:space="0" w:color="auto"/>
      </w:divBdr>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07422088">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71592984">
      <w:bodyDiv w:val="1"/>
      <w:marLeft w:val="0"/>
      <w:marRight w:val="0"/>
      <w:marTop w:val="0"/>
      <w:marBottom w:val="0"/>
      <w:divBdr>
        <w:top w:val="none" w:sz="0" w:space="0" w:color="auto"/>
        <w:left w:val="none" w:sz="0" w:space="0" w:color="auto"/>
        <w:bottom w:val="none" w:sz="0" w:space="0" w:color="auto"/>
        <w:right w:val="none" w:sz="0" w:space="0" w:color="auto"/>
      </w:divBdr>
      <w:divsChild>
        <w:div w:id="8540719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5450922">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68572509">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44586348">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3547096">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4362947">
      <w:bodyDiv w:val="1"/>
      <w:marLeft w:val="0"/>
      <w:marRight w:val="0"/>
      <w:marTop w:val="0"/>
      <w:marBottom w:val="0"/>
      <w:divBdr>
        <w:top w:val="none" w:sz="0" w:space="0" w:color="auto"/>
        <w:left w:val="none" w:sz="0" w:space="0" w:color="auto"/>
        <w:bottom w:val="none" w:sz="0" w:space="0" w:color="auto"/>
        <w:right w:val="none" w:sz="0" w:space="0" w:color="auto"/>
      </w:divBdr>
      <w:divsChild>
        <w:div w:id="197666822">
          <w:marLeft w:val="108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6547207">
      <w:bodyDiv w:val="1"/>
      <w:marLeft w:val="0"/>
      <w:marRight w:val="0"/>
      <w:marTop w:val="0"/>
      <w:marBottom w:val="0"/>
      <w:divBdr>
        <w:top w:val="none" w:sz="0" w:space="0" w:color="auto"/>
        <w:left w:val="none" w:sz="0" w:space="0" w:color="auto"/>
        <w:bottom w:val="none" w:sz="0" w:space="0" w:color="auto"/>
        <w:right w:val="none" w:sz="0" w:space="0" w:color="auto"/>
      </w:divBdr>
      <w:divsChild>
        <w:div w:id="6516439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26839619">
      <w:bodyDiv w:val="1"/>
      <w:marLeft w:val="0"/>
      <w:marRight w:val="0"/>
      <w:marTop w:val="0"/>
      <w:marBottom w:val="0"/>
      <w:divBdr>
        <w:top w:val="none" w:sz="0" w:space="0" w:color="auto"/>
        <w:left w:val="none" w:sz="0" w:space="0" w:color="auto"/>
        <w:bottom w:val="none" w:sz="0" w:space="0" w:color="auto"/>
        <w:right w:val="none" w:sz="0" w:space="0" w:color="auto"/>
      </w:divBdr>
      <w:divsChild>
        <w:div w:id="1515272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47611242">
      <w:bodyDiv w:val="1"/>
      <w:marLeft w:val="0"/>
      <w:marRight w:val="0"/>
      <w:marTop w:val="0"/>
      <w:marBottom w:val="0"/>
      <w:divBdr>
        <w:top w:val="none" w:sz="0" w:space="0" w:color="auto"/>
        <w:left w:val="none" w:sz="0" w:space="0" w:color="auto"/>
        <w:bottom w:val="none" w:sz="0" w:space="0" w:color="auto"/>
        <w:right w:val="none" w:sz="0" w:space="0" w:color="auto"/>
      </w:divBdr>
      <w:divsChild>
        <w:div w:id="19200899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72400416">
      <w:bodyDiv w:val="1"/>
      <w:marLeft w:val="0"/>
      <w:marRight w:val="0"/>
      <w:marTop w:val="0"/>
      <w:marBottom w:val="0"/>
      <w:divBdr>
        <w:top w:val="none" w:sz="0" w:space="0" w:color="auto"/>
        <w:left w:val="none" w:sz="0" w:space="0" w:color="auto"/>
        <w:bottom w:val="none" w:sz="0" w:space="0" w:color="auto"/>
        <w:right w:val="none" w:sz="0" w:space="0" w:color="auto"/>
      </w:divBdr>
      <w:divsChild>
        <w:div w:id="13732671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1328023">
      <w:bodyDiv w:val="1"/>
      <w:marLeft w:val="0"/>
      <w:marRight w:val="0"/>
      <w:marTop w:val="0"/>
      <w:marBottom w:val="0"/>
      <w:divBdr>
        <w:top w:val="none" w:sz="0" w:space="0" w:color="auto"/>
        <w:left w:val="none" w:sz="0" w:space="0" w:color="auto"/>
        <w:bottom w:val="none" w:sz="0" w:space="0" w:color="auto"/>
        <w:right w:val="none" w:sz="0" w:space="0" w:color="auto"/>
      </w:divBdr>
      <w:divsChild>
        <w:div w:id="1250473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28553662">
      <w:bodyDiv w:val="1"/>
      <w:marLeft w:val="0"/>
      <w:marRight w:val="0"/>
      <w:marTop w:val="0"/>
      <w:marBottom w:val="0"/>
      <w:divBdr>
        <w:top w:val="none" w:sz="0" w:space="0" w:color="auto"/>
        <w:left w:val="none" w:sz="0" w:space="0" w:color="auto"/>
        <w:bottom w:val="none" w:sz="0" w:space="0" w:color="auto"/>
        <w:right w:val="none" w:sz="0" w:space="0" w:color="auto"/>
      </w:divBdr>
      <w:divsChild>
        <w:div w:id="10535051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84639269">
      <w:bodyDiv w:val="1"/>
      <w:marLeft w:val="0"/>
      <w:marRight w:val="0"/>
      <w:marTop w:val="0"/>
      <w:marBottom w:val="0"/>
      <w:divBdr>
        <w:top w:val="none" w:sz="0" w:space="0" w:color="auto"/>
        <w:left w:val="none" w:sz="0" w:space="0" w:color="auto"/>
        <w:bottom w:val="none" w:sz="0" w:space="0" w:color="auto"/>
        <w:right w:val="none" w:sz="0" w:space="0" w:color="auto"/>
      </w:divBdr>
      <w:divsChild>
        <w:div w:id="9183660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7920996">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 w:id="2100178880">
      <w:bodyDiv w:val="1"/>
      <w:marLeft w:val="0"/>
      <w:marRight w:val="0"/>
      <w:marTop w:val="0"/>
      <w:marBottom w:val="0"/>
      <w:divBdr>
        <w:top w:val="none" w:sz="0" w:space="0" w:color="auto"/>
        <w:left w:val="none" w:sz="0" w:space="0" w:color="auto"/>
        <w:bottom w:val="none" w:sz="0" w:space="0" w:color="auto"/>
        <w:right w:val="none" w:sz="0" w:space="0" w:color="auto"/>
      </w:divBdr>
    </w:div>
    <w:div w:id="2113353671">
      <w:bodyDiv w:val="1"/>
      <w:marLeft w:val="0"/>
      <w:marRight w:val="0"/>
      <w:marTop w:val="0"/>
      <w:marBottom w:val="0"/>
      <w:divBdr>
        <w:top w:val="none" w:sz="0" w:space="0" w:color="auto"/>
        <w:left w:val="none" w:sz="0" w:space="0" w:color="auto"/>
        <w:bottom w:val="none" w:sz="0" w:space="0" w:color="auto"/>
        <w:right w:val="none" w:sz="0" w:space="0" w:color="auto"/>
      </w:divBdr>
      <w:divsChild>
        <w:div w:id="18795821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E2909-D1D9-48D9-BDA4-57D4CB925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1212</TotalTime>
  <Pages>6</Pages>
  <Words>2761</Words>
  <Characters>15741</Characters>
  <Application>Microsoft Office Word</Application>
  <DocSecurity>0</DocSecurity>
  <Lines>131</Lines>
  <Paragraphs>36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MSH</cp:lastModifiedBy>
  <cp:revision>52</cp:revision>
  <cp:lastPrinted>2013-10-30T13:46:00Z</cp:lastPrinted>
  <dcterms:created xsi:type="dcterms:W3CDTF">2025-10-02T01:44:00Z</dcterms:created>
  <dcterms:modified xsi:type="dcterms:W3CDTF">2026-01-30T08:19:00Z</dcterms:modified>
</cp:coreProperties>
</file>